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FA28B">
      <w:bookmarkStart w:id="0" w:name="_GoBack"/>
      <w:bookmarkEnd w:id="0"/>
      <w:r>
        <w:rPr>
          <w:lang w:eastAsia="fr-FR"/>
        </w:rPr>
        <w:drawing>
          <wp:anchor distT="0" distB="0" distL="114300" distR="114300" simplePos="0" relativeHeight="251660288" behindDoc="1" locked="0" layoutInCell="1" allowOverlap="1">
            <wp:simplePos x="0" y="0"/>
            <wp:positionH relativeFrom="margin">
              <wp:align>left</wp:align>
            </wp:positionH>
            <wp:positionV relativeFrom="paragraph">
              <wp:posOffset>-118745</wp:posOffset>
            </wp:positionV>
            <wp:extent cx="1760855" cy="595630"/>
            <wp:effectExtent l="0" t="0" r="4445" b="127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0855" cy="595630"/>
                    </a:xfrm>
                    <a:prstGeom prst="rect">
                      <a:avLst/>
                    </a:prstGeom>
                  </pic:spPr>
                </pic:pic>
              </a:graphicData>
            </a:graphic>
          </wp:anchor>
        </w:drawing>
      </w:r>
      <w:r>
        <w:rPr>
          <w:lang w:eastAsia="fr-FR"/>
        </w:rPr>
        <w:drawing>
          <wp:anchor distT="0" distB="0" distL="114300" distR="114300" simplePos="0" relativeHeight="251659264" behindDoc="1" locked="0" layoutInCell="1" allowOverlap="1">
            <wp:simplePos x="0" y="0"/>
            <wp:positionH relativeFrom="margin">
              <wp:posOffset>3891280</wp:posOffset>
            </wp:positionH>
            <wp:positionV relativeFrom="page">
              <wp:posOffset>895350</wp:posOffset>
            </wp:positionV>
            <wp:extent cx="1863090" cy="390525"/>
            <wp:effectExtent l="0" t="0" r="3810" b="317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3090" cy="390525"/>
                    </a:xfrm>
                    <a:prstGeom prst="rect">
                      <a:avLst/>
                    </a:prstGeom>
                  </pic:spPr>
                </pic:pic>
              </a:graphicData>
            </a:graphic>
          </wp:anchor>
        </w:drawing>
      </w:r>
    </w:p>
    <w:p w14:paraId="47D97F11">
      <w:r>
        <w:rPr>
          <w:lang w:eastAsia="fr-FR"/>
        </w:rPr>
        <w:drawing>
          <wp:anchor distT="0" distB="0" distL="114300" distR="114300" simplePos="0" relativeHeight="251661312" behindDoc="1" locked="0" layoutInCell="1" allowOverlap="1">
            <wp:simplePos x="0" y="0"/>
            <wp:positionH relativeFrom="margin">
              <wp:posOffset>-50800</wp:posOffset>
            </wp:positionH>
            <wp:positionV relativeFrom="paragraph">
              <wp:posOffset>7812405</wp:posOffset>
            </wp:positionV>
            <wp:extent cx="6021070" cy="107315"/>
            <wp:effectExtent l="0" t="0" r="11430" b="698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6021070" cy="107315"/>
                    </a:xfrm>
                    <a:prstGeom prst="rect">
                      <a:avLst/>
                    </a:prstGeom>
                  </pic:spPr>
                </pic:pic>
              </a:graphicData>
            </a:graphic>
          </wp:anchor>
        </w:drawing>
      </w:r>
    </w:p>
    <w:tbl>
      <w:tblPr>
        <w:tblStyle w:val="65"/>
        <w:tblpPr w:leftFromText="180" w:rightFromText="180" w:vertAnchor="text" w:horzAnchor="page" w:tblpX="1564" w:tblpY="606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0"/>
      </w:tblGrid>
      <w:tr w14:paraId="750C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2" w:hRule="atLeast"/>
        </w:trPr>
        <w:tc>
          <w:tcPr>
            <w:tcW w:w="9420" w:type="dxa"/>
            <w:shd w:val="clear" w:color="auto" w:fill="EEF2F7"/>
          </w:tcPr>
          <w:p w14:paraId="4F573D65">
            <w:pPr>
              <w:spacing w:after="0" w:line="240" w:lineRule="auto"/>
            </w:pPr>
          </w:p>
          <w:p w14:paraId="579DCACD">
            <w:pPr>
              <w:spacing w:after="0" w:line="240" w:lineRule="auto"/>
              <w:jc w:val="center"/>
              <w:rPr>
                <w:sz w:val="44"/>
                <w:szCs w:val="44"/>
              </w:rPr>
            </w:pPr>
            <w:r>
              <w:rPr>
                <w:color w:val="1A2E4A"/>
                <w:sz w:val="32"/>
                <w:szCs w:val="44"/>
              </w:rPr>
              <w:t>Responsable : BARRY Thierno Alhassane</w:t>
            </w:r>
          </w:p>
          <w:p w14:paraId="13855914">
            <w:pPr>
              <w:spacing w:after="0" w:line="240" w:lineRule="auto"/>
              <w:jc w:val="center"/>
              <w:rPr>
                <w:sz w:val="44"/>
                <w:szCs w:val="44"/>
              </w:rPr>
            </w:pPr>
            <w:r>
              <w:rPr>
                <w:color w:val="1A2E4A"/>
                <w:sz w:val="32"/>
                <w:szCs w:val="44"/>
              </w:rPr>
              <w:t>N°RCCM : TG-LFW-01-2026-B16-00009</w:t>
            </w:r>
          </w:p>
          <w:p w14:paraId="5A002D65">
            <w:pPr>
              <w:spacing w:after="0" w:line="240" w:lineRule="auto"/>
              <w:jc w:val="center"/>
            </w:pPr>
            <w:r>
              <w:rPr>
                <w:color w:val="1A2E4A"/>
                <w:sz w:val="32"/>
                <w:szCs w:val="44"/>
              </w:rPr>
              <w:t xml:space="preserve">NIF : 1002112490   </w:t>
            </w:r>
            <w:r>
              <w:rPr>
                <w:color w:val="1A2E4A"/>
                <w:sz w:val="32"/>
                <w:szCs w:val="44"/>
              </w:rPr>
              <w:br w:type="textWrapping"/>
            </w:r>
            <w:r>
              <w:rPr>
                <w:color w:val="1A2E4A"/>
                <w:sz w:val="32"/>
                <w:szCs w:val="44"/>
              </w:rPr>
              <w:t>N°CFE : 02806PM2026/2026</w:t>
            </w:r>
          </w:p>
        </w:tc>
      </w:tr>
    </w:tbl>
    <w:p w14:paraId="4AF563E1"/>
    <w:p w14:paraId="117B1846"/>
    <w:p w14:paraId="5E323948"/>
    <w:p w14:paraId="47683068"/>
    <w:p w14:paraId="3EDF50A3">
      <w:pPr>
        <w:sectPr>
          <w:headerReference r:id="rId5" w:type="default"/>
          <w:footerReference r:id="rId6" w:type="default"/>
          <w:pgSz w:w="12240" w:h="15840"/>
          <w:pgMar w:top="1411" w:right="1411" w:bottom="1411" w:left="1411" w:header="720" w:footer="720" w:gutter="0"/>
          <w:cols w:space="720" w:num="1"/>
          <w:docGrid w:linePitch="360" w:charSpace="0"/>
        </w:sectPr>
      </w:pPr>
      <w:r>
        <w:rPr>
          <w:lang w:eastAsia="fr-FR"/>
        </w:rPr>
        <w:drawing>
          <wp:anchor distT="0" distB="0" distL="114300" distR="114300" simplePos="0" relativeHeight="251662336" behindDoc="1" locked="0" layoutInCell="1" allowOverlap="1">
            <wp:simplePos x="0" y="0"/>
            <wp:positionH relativeFrom="margin">
              <wp:posOffset>862965</wp:posOffset>
            </wp:positionH>
            <wp:positionV relativeFrom="paragraph">
              <wp:posOffset>351155</wp:posOffset>
            </wp:positionV>
            <wp:extent cx="4067175" cy="1378585"/>
            <wp:effectExtent l="0" t="0" r="9525" b="571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7175" cy="1378585"/>
                    </a:xfrm>
                    <a:prstGeom prst="rect">
                      <a:avLst/>
                    </a:prstGeom>
                  </pic:spPr>
                </pic:pic>
              </a:graphicData>
            </a:graphic>
          </wp:anchor>
        </w:drawing>
      </w:r>
    </w:p>
    <w:p w14:paraId="41C7602A"/>
    <w:p w14:paraId="45C18605">
      <w:pPr>
        <w:jc w:val="center"/>
      </w:pPr>
      <w:r>
        <w:rPr>
          <w:b/>
          <w:color w:val="1A2E4A"/>
          <w:sz w:val="84"/>
        </w:rPr>
        <w:t>PROSPERA</w:t>
      </w:r>
    </w:p>
    <w:p w14:paraId="14EBC144">
      <w:pPr>
        <w:jc w:val="center"/>
      </w:pPr>
      <w:r>
        <w:rPr>
          <w:b/>
          <w:color w:val="D4AF37"/>
          <w:sz w:val="32"/>
        </w:rPr>
        <w:t>Plateforme de Pilotage Microfinance AI-Native</w:t>
      </w:r>
    </w:p>
    <w:p w14:paraId="3251E669"/>
    <w:p w14:paraId="7015A27A">
      <w:pPr>
        <w:jc w:val="center"/>
      </w:pPr>
      <w:r>
        <w:rPr>
          <w:b/>
          <w:color w:val="1A2E4A"/>
          <w:sz w:val="28"/>
        </w:rPr>
        <w:t xml:space="preserve"> MICROFINANCE</w:t>
      </w:r>
    </w:p>
    <w:p w14:paraId="6118584C"/>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tblGrid>
      <w:tr w14:paraId="4EA6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4AF37"/>
          </w:tcPr>
          <w:p w14:paraId="610290F4">
            <w:pPr>
              <w:spacing w:before="8" w:after="8" w:line="240" w:lineRule="auto"/>
            </w:pPr>
          </w:p>
        </w:tc>
      </w:tr>
    </w:tbl>
    <w:p w14:paraId="0425D6EF"/>
    <w:p w14:paraId="2CA5AF4D">
      <w:pPr>
        <w:jc w:val="center"/>
      </w:pPr>
      <w:r>
        <w:rPr>
          <w:b/>
          <w:color w:val="1A2E4A"/>
          <w:sz w:val="24"/>
        </w:rPr>
        <w:t>Prospera pour les Institutions de Microfinance Africaines</w:t>
      </w:r>
    </w:p>
    <w:p w14:paraId="603FB1F3">
      <w:pPr>
        <w:jc w:val="center"/>
      </w:pPr>
      <w:r>
        <w:rPr>
          <w:b w:val="0"/>
          <w:color w:val="1A1A2E"/>
          <w:sz w:val="20"/>
        </w:rPr>
        <w:t>Document de présentation &amp; argumentaire de valeur</w:t>
      </w:r>
    </w:p>
    <w:p w14:paraId="630A1A7D">
      <w:pPr>
        <w:jc w:val="center"/>
      </w:pPr>
      <w:r>
        <w:rPr>
          <w:b w:val="0"/>
          <w:color w:val="888899"/>
          <w:sz w:val="18"/>
        </w:rPr>
        <w:t>Document confidentiel</w:t>
      </w:r>
    </w:p>
    <w:p w14:paraId="2BF7C0DE"/>
    <w:p w14:paraId="1C5D6552"/>
    <w:p w14:paraId="4B978E4A"/>
    <w:p w14:paraId="286F6738"/>
    <w:p w14:paraId="7CC6005F"/>
    <w:p w14:paraId="2339DD96"/>
    <w:p w14:paraId="6086167C"/>
    <w:p w14:paraId="0AD70C4F"/>
    <w:p w14:paraId="2A081F77">
      <w:r>
        <w:br w:type="page"/>
      </w:r>
    </w:p>
    <w:p w14:paraId="00EEE458">
      <w:pPr>
        <w:pBdr>
          <w:bottom w:val="single" w:color="D4AF37" w:sz="6" w:space="1"/>
        </w:pBdr>
        <w:spacing w:before="240" w:after="80"/>
      </w:pPr>
      <w:r>
        <w:rPr>
          <w:b/>
          <w:color w:val="1A2E4A"/>
          <w:sz w:val="32"/>
        </w:rPr>
        <w:t>1. Résumé exécutif</w:t>
      </w:r>
    </w:p>
    <w:p w14:paraId="5562298E">
      <w:pPr>
        <w:spacing w:before="0" w:after="80"/>
        <w:jc w:val="both"/>
      </w:pPr>
      <w:r>
        <w:rPr>
          <w:color w:val="1A1A2E"/>
          <w:sz w:val="20"/>
        </w:rPr>
        <w:t>Prospera est la première plateforme AI-native de pilotage microfinance conçue spécifiquement pour les réalités du marché africain. Ce document annexe présente l’adaptation de Prospera aux besoins spécifiques des Institutions de Microfinance (IMF) africaines.</w:t>
      </w:r>
    </w:p>
    <w:p w14:paraId="2B0F619C">
      <w:pPr>
        <w:spacing w:before="0" w:after="80"/>
        <w:jc w:val="both"/>
      </w:pPr>
      <w:r>
        <w:rPr>
          <w:color w:val="1A1A2E"/>
          <w:sz w:val="20"/>
        </w:rPr>
        <w:t>Les IMF africaines font face à des défis uniques : gestion d’un grand nombre d’agents de crédit sur le terrain, suivi des remboursements en zones rurales sans connectivité, encaissements via Mobile Money et conformité réglementaire stricte. Prospera répond à chacun de ces défis grâce à son architecture AI-native, offline-first et Mobile Money intégrée.</w:t>
      </w:r>
    </w:p>
    <w:p w14:paraId="778E00B9">
      <w:pPr>
        <w:spacing w:before="0" w:after="80"/>
        <w:jc w:val="both"/>
      </w:pPr>
      <w:r>
        <w:rPr>
          <w:color w:val="1A1A2E"/>
          <w:sz w:val="20"/>
        </w:rPr>
        <w:t xml:space="preserve">Prospera transforme chaque agent de crédit en un conseiller augmenté par l’IA, capable de travailler efficacement même sans connexion internet, tout en offrant aux dirigeants une visibilité totale sur les opérations terrain. Un </w:t>
      </w:r>
      <w:r>
        <w:rPr>
          <w:color w:val="1A1A2E"/>
          <w:sz w:val="20"/>
          <w:lang w:val="en-US"/>
        </w:rPr>
        <w:t>Prospera</w:t>
      </w:r>
      <w:r>
        <w:rPr>
          <w:color w:val="1A1A2E"/>
          <w:sz w:val="20"/>
        </w:rPr>
        <w:t>IA accompagne chaque utilisateur dans ses décisions quotidiennes, quel que soit son rôle.</w:t>
      </w:r>
    </w:p>
    <w:p w14:paraId="5BA52AF5">
      <w:pPr>
        <w:spacing w:before="160" w:after="60"/>
      </w:pPr>
      <w:r>
        <w:rPr>
          <w:b/>
          <w:color w:val="1A2E4A"/>
          <w:sz w:val="24"/>
        </w:rPr>
        <w:t>Les 5 promesses de Prospera pour la microfinance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2835"/>
        <w:gridCol w:w="5386"/>
      </w:tblGrid>
      <w:tr w14:paraId="3E47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1A2E4A"/>
            <w:vAlign w:val="center"/>
          </w:tcPr>
          <w:p w14:paraId="57657480">
            <w:pPr>
              <w:spacing w:before="60" w:after="60" w:line="240" w:lineRule="auto"/>
              <w:jc w:val="center"/>
            </w:pPr>
            <w:r>
              <w:rPr>
                <w:b/>
                <w:color w:val="FFFFFF"/>
                <w:sz w:val="18"/>
              </w:rPr>
              <w:t>#</w:t>
            </w:r>
          </w:p>
        </w:tc>
        <w:tc>
          <w:tcPr>
            <w:tcW w:w="2835" w:type="dxa"/>
            <w:shd w:val="clear" w:color="auto" w:fill="1A2E4A"/>
            <w:vAlign w:val="center"/>
          </w:tcPr>
          <w:p w14:paraId="735B7EE5">
            <w:pPr>
              <w:spacing w:before="60" w:after="60" w:line="240" w:lineRule="auto"/>
              <w:jc w:val="center"/>
            </w:pPr>
            <w:r>
              <w:rPr>
                <w:b/>
                <w:color w:val="FFFFFF"/>
                <w:sz w:val="18"/>
              </w:rPr>
              <w:t>Promesse</w:t>
            </w:r>
          </w:p>
        </w:tc>
        <w:tc>
          <w:tcPr>
            <w:tcW w:w="5386" w:type="dxa"/>
            <w:shd w:val="clear" w:color="auto" w:fill="1A2E4A"/>
            <w:vAlign w:val="center"/>
          </w:tcPr>
          <w:p w14:paraId="34FF7299">
            <w:pPr>
              <w:spacing w:before="60" w:after="60" w:line="240" w:lineRule="auto"/>
              <w:jc w:val="center"/>
            </w:pPr>
            <w:r>
              <w:rPr>
                <w:b/>
                <w:color w:val="FFFFFF"/>
                <w:sz w:val="18"/>
              </w:rPr>
              <w:t>Impact attendu</w:t>
            </w:r>
          </w:p>
        </w:tc>
      </w:tr>
      <w:tr w14:paraId="3262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6FC0F36C">
            <w:pPr>
              <w:spacing w:before="40" w:after="40" w:line="240" w:lineRule="auto"/>
            </w:pPr>
            <w:r>
              <w:rPr>
                <w:color w:val="1A1A2E"/>
                <w:sz w:val="18"/>
              </w:rPr>
              <w:t>1</w:t>
            </w:r>
          </w:p>
        </w:tc>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D294F18">
            <w:pPr>
              <w:spacing w:before="40" w:after="40" w:line="240" w:lineRule="auto"/>
            </w:pPr>
            <w:r>
              <w:rPr>
                <w:color w:val="1A1A2E"/>
                <w:sz w:val="18"/>
              </w:rPr>
              <w:t>Réduire le PAR (Portefeuille à Risque)</w:t>
            </w:r>
          </w:p>
        </w:tc>
        <w:tc>
          <w:tcPr>
            <w:tcW w:w="538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DB80D19">
            <w:pPr>
              <w:spacing w:before="40" w:after="40" w:line="240" w:lineRule="auto"/>
            </w:pPr>
            <w:r>
              <w:rPr>
                <w:color w:val="1A1A2E"/>
                <w:sz w:val="18"/>
              </w:rPr>
              <w:t>Baisse du PAR &gt; 30 jours de 15 à 25 % grâce aux relances IA et au scoring prédictif des emprunteurs</w:t>
            </w:r>
          </w:p>
        </w:tc>
      </w:tr>
      <w:tr w14:paraId="109B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11920C84">
            <w:pPr>
              <w:spacing w:before="40" w:after="40" w:line="240" w:lineRule="auto"/>
            </w:pPr>
            <w:r>
              <w:rPr>
                <w:color w:val="1A1A2E"/>
                <w:sz w:val="18"/>
              </w:rPr>
              <w:t>2</w:t>
            </w:r>
          </w:p>
        </w:tc>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A0240B1">
            <w:pPr>
              <w:spacing w:before="40" w:after="40" w:line="240" w:lineRule="auto"/>
            </w:pPr>
            <w:r>
              <w:rPr>
                <w:color w:val="1A1A2E"/>
                <w:sz w:val="18"/>
              </w:rPr>
              <w:t>Augmenter la productivité terrain</w:t>
            </w:r>
          </w:p>
        </w:tc>
        <w:tc>
          <w:tcPr>
            <w:tcW w:w="538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47A4F0A">
            <w:pPr>
              <w:spacing w:before="40" w:after="40" w:line="240" w:lineRule="auto"/>
            </w:pPr>
            <w:r>
              <w:rPr>
                <w:color w:val="1A1A2E"/>
                <w:sz w:val="18"/>
              </w:rPr>
              <w:t>Chaque agent gère 30 à 50 % de clients supplémentaires grâce à l’optimisation des tournées</w:t>
            </w:r>
          </w:p>
        </w:tc>
      </w:tr>
      <w:tr w14:paraId="7E10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308C99D">
            <w:pPr>
              <w:spacing w:before="40" w:after="40" w:line="240" w:lineRule="auto"/>
            </w:pPr>
            <w:r>
              <w:rPr>
                <w:color w:val="1A1A2E"/>
                <w:sz w:val="18"/>
              </w:rPr>
              <w:t>3</w:t>
            </w:r>
          </w:p>
        </w:tc>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B27DBEF">
            <w:pPr>
              <w:spacing w:before="40" w:after="40" w:line="240" w:lineRule="auto"/>
            </w:pPr>
            <w:r>
              <w:rPr>
                <w:color w:val="1A1A2E"/>
                <w:sz w:val="18"/>
              </w:rPr>
              <w:t>Digitaliser 100 % des encaissements</w:t>
            </w:r>
          </w:p>
        </w:tc>
        <w:tc>
          <w:tcPr>
            <w:tcW w:w="538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5C3E349">
            <w:pPr>
              <w:spacing w:before="40" w:after="40" w:line="240" w:lineRule="auto"/>
            </w:pPr>
            <w:r>
              <w:rPr>
                <w:color w:val="1A1A2E"/>
                <w:sz w:val="18"/>
              </w:rPr>
              <w:t>Zéro manipulation d’espèces, réconciliation automatique, traçabilité complète via Mobile Money</w:t>
            </w:r>
          </w:p>
        </w:tc>
      </w:tr>
      <w:tr w14:paraId="3560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B1BE7D9">
            <w:pPr>
              <w:spacing w:before="40" w:after="40" w:line="240" w:lineRule="auto"/>
            </w:pPr>
            <w:r>
              <w:rPr>
                <w:color w:val="1A1A2E"/>
                <w:sz w:val="18"/>
              </w:rPr>
              <w:t>4</w:t>
            </w:r>
          </w:p>
        </w:tc>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FC3F068">
            <w:pPr>
              <w:spacing w:before="40" w:after="40" w:line="240" w:lineRule="auto"/>
            </w:pPr>
            <w:r>
              <w:rPr>
                <w:color w:val="1A1A2E"/>
                <w:sz w:val="18"/>
              </w:rPr>
              <w:t>Piloter en temps réel</w:t>
            </w:r>
          </w:p>
        </w:tc>
        <w:tc>
          <w:tcPr>
            <w:tcW w:w="538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5EFCA0E">
            <w:pPr>
              <w:spacing w:before="40" w:after="40" w:line="240" w:lineRule="auto"/>
            </w:pPr>
            <w:r>
              <w:rPr>
                <w:color w:val="1A1A2E"/>
                <w:sz w:val="18"/>
              </w:rPr>
              <w:t>Tableaux de bord IA avec alertes proactives sur les risques de défaut et les anomalies terrain</w:t>
            </w:r>
          </w:p>
        </w:tc>
      </w:tr>
      <w:tr w14:paraId="2F8D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1E6139B">
            <w:pPr>
              <w:spacing w:before="40" w:after="40" w:line="240" w:lineRule="auto"/>
            </w:pPr>
            <w:r>
              <w:rPr>
                <w:color w:val="1A1A2E"/>
                <w:sz w:val="18"/>
              </w:rPr>
              <w:t>5</w:t>
            </w:r>
          </w:p>
        </w:tc>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D44310C">
            <w:pPr>
              <w:spacing w:before="40" w:after="40" w:line="240" w:lineRule="auto"/>
            </w:pPr>
            <w:r>
              <w:rPr>
                <w:color w:val="1A1A2E"/>
                <w:sz w:val="18"/>
              </w:rPr>
              <w:t>Garantir la conformité BCEAO</w:t>
            </w:r>
          </w:p>
        </w:tc>
        <w:tc>
          <w:tcPr>
            <w:tcW w:w="538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F3FE21B">
            <w:pPr>
              <w:spacing w:before="40" w:after="40" w:line="240" w:lineRule="auto"/>
            </w:pPr>
            <w:r>
              <w:rPr>
                <w:color w:val="1A1A2E"/>
                <w:sz w:val="18"/>
              </w:rPr>
              <w:t>Reporting réglementaire automatisé, export PDF, audit trail complet</w:t>
            </w:r>
          </w:p>
        </w:tc>
      </w:tr>
    </w:tbl>
    <w:p w14:paraId="641FD4D4"/>
    <w:p w14:paraId="0527059E">
      <w:r>
        <w:rPr>
          <w:b/>
          <w:color w:val="1A2E4A"/>
          <w:sz w:val="32"/>
        </w:rPr>
        <w:t>2. Les défis de la microfinance africaine</w:t>
      </w:r>
    </w:p>
    <w:p w14:paraId="3E80D6AE">
      <w:pPr>
        <w:spacing w:before="0" w:after="80"/>
        <w:jc w:val="both"/>
      </w:pPr>
      <w:r>
        <w:rPr>
          <w:color w:val="1A1A2E"/>
          <w:sz w:val="20"/>
        </w:rPr>
        <w:t>Les institutions de microfinance en Afrique opèrent dans un contexte unique qui rend les solutions traditionnelles inadaptées. Voici les principaux défis auxquels elles font face quotidiennement :</w:t>
      </w:r>
    </w:p>
    <w:p w14:paraId="32BC3A4B">
      <w:pPr>
        <w:spacing w:before="160" w:after="60"/>
      </w:pPr>
      <w:r>
        <w:rPr>
          <w:b/>
          <w:color w:val="1A2E4A"/>
          <w:sz w:val="24"/>
        </w:rPr>
        <w:t>2.1 Gestion des agents de crédit terrain</w:t>
      </w:r>
    </w:p>
    <w:p w14:paraId="30F6A4E5">
      <w:pPr>
        <w:spacing w:before="40" w:after="40"/>
        <w:ind w:left="360" w:hanging="360"/>
      </w:pPr>
      <w:r>
        <w:rPr>
          <w:color w:val="D4AF37"/>
          <w:sz w:val="20"/>
        </w:rPr>
        <w:t xml:space="preserve">❌  </w:t>
      </w:r>
      <w:r>
        <w:rPr>
          <w:color w:val="1A1A2E"/>
          <w:sz w:val="20"/>
        </w:rPr>
        <w:t>Les agents collectent les remboursements en espèces sans traçabilité fiable</w:t>
      </w:r>
    </w:p>
    <w:p w14:paraId="7F2D0E86">
      <w:pPr>
        <w:spacing w:before="40" w:after="40"/>
        <w:ind w:left="360" w:hanging="360"/>
      </w:pPr>
      <w:r>
        <w:rPr>
          <w:color w:val="D4AF37"/>
          <w:sz w:val="20"/>
        </w:rPr>
        <w:t xml:space="preserve">❌  </w:t>
      </w:r>
      <w:r>
        <w:rPr>
          <w:color w:val="1A1A2E"/>
          <w:sz w:val="20"/>
        </w:rPr>
        <w:t>Impossibilité de vérifier si l’agent a réellement visité le client</w:t>
      </w:r>
    </w:p>
    <w:p w14:paraId="66D3B01B">
      <w:pPr>
        <w:spacing w:before="40" w:after="40"/>
        <w:ind w:left="360" w:hanging="360"/>
      </w:pPr>
      <w:r>
        <w:rPr>
          <w:color w:val="D4AF37"/>
          <w:sz w:val="20"/>
        </w:rPr>
        <w:t xml:space="preserve">❌  </w:t>
      </w:r>
      <w:r>
        <w:rPr>
          <w:color w:val="1A1A2E"/>
          <w:sz w:val="20"/>
        </w:rPr>
        <w:t>Rapports de visite remplis à la main, souvent incomplets ou en retard</w:t>
      </w:r>
    </w:p>
    <w:p w14:paraId="35482294">
      <w:pPr>
        <w:spacing w:before="40" w:after="40"/>
        <w:ind w:left="360" w:hanging="360"/>
      </w:pPr>
      <w:r>
        <w:rPr>
          <w:color w:val="D4AF37"/>
          <w:sz w:val="20"/>
        </w:rPr>
        <w:t xml:space="preserve">❌  </w:t>
      </w:r>
      <w:r>
        <w:rPr>
          <w:color w:val="1A1A2E"/>
          <w:sz w:val="20"/>
        </w:rPr>
        <w:t>Pas de visibilité en temps réel sur l’activité des agents</w:t>
      </w:r>
    </w:p>
    <w:p w14:paraId="3107A8D3">
      <w:pPr>
        <w:spacing w:before="0" w:after="80"/>
        <w:jc w:val="both"/>
      </w:pPr>
      <w:r>
        <w:rPr>
          <w:color w:val="1A1A2E"/>
          <w:sz w:val="20"/>
        </w:rPr>
        <w:t>✅  Solution Prospera : Module terrain complet avec GPS, historique des visites, mode hors-ligne et tableau de bord agent dédié.</w:t>
      </w:r>
    </w:p>
    <w:p w14:paraId="68F6C9EE">
      <w:pPr>
        <w:spacing w:before="160" w:after="60"/>
      </w:pPr>
      <w:r>
        <w:rPr>
          <w:b/>
          <w:color w:val="1A2E4A"/>
          <w:sz w:val="24"/>
        </w:rPr>
        <w:t>2.2 Suivi des remboursements et risque de défaut</w:t>
      </w:r>
    </w:p>
    <w:p w14:paraId="19868752">
      <w:pPr>
        <w:spacing w:before="40" w:after="40"/>
        <w:ind w:left="360" w:hanging="360"/>
      </w:pPr>
      <w:r>
        <w:rPr>
          <w:color w:val="D4AF37"/>
          <w:sz w:val="20"/>
        </w:rPr>
        <w:t xml:space="preserve">❌  </w:t>
      </w:r>
      <w:r>
        <w:rPr>
          <w:color w:val="1A1A2E"/>
          <w:sz w:val="20"/>
        </w:rPr>
        <w:t>Relances de remboursement manuelles, incohérentes et souvent tardives</w:t>
      </w:r>
    </w:p>
    <w:p w14:paraId="2010CA6F">
      <w:pPr>
        <w:spacing w:before="40" w:after="40"/>
        <w:ind w:left="360" w:hanging="360"/>
      </w:pPr>
      <w:r>
        <w:rPr>
          <w:color w:val="D4AF37"/>
          <w:sz w:val="20"/>
        </w:rPr>
        <w:t xml:space="preserve">❌  </w:t>
      </w:r>
      <w:r>
        <w:rPr>
          <w:color w:val="1A1A2E"/>
          <w:sz w:val="20"/>
        </w:rPr>
        <w:t>Aucun système prédictif pour anticiper les défauts de paiement</w:t>
      </w:r>
    </w:p>
    <w:p w14:paraId="1DC77BD5">
      <w:pPr>
        <w:spacing w:before="40" w:after="40"/>
        <w:ind w:left="360" w:hanging="360"/>
      </w:pPr>
      <w:r>
        <w:rPr>
          <w:color w:val="D4AF37"/>
          <w:sz w:val="20"/>
        </w:rPr>
        <w:t xml:space="preserve">❌  </w:t>
      </w:r>
      <w:r>
        <w:rPr>
          <w:color w:val="1A1A2E"/>
          <w:sz w:val="20"/>
        </w:rPr>
        <w:t>Le PAR (Portefeuille à Risque) augmente par manque de réactivité</w:t>
      </w:r>
    </w:p>
    <w:p w14:paraId="25A2B9A2">
      <w:pPr>
        <w:spacing w:before="40" w:after="40"/>
        <w:ind w:left="360" w:hanging="360"/>
      </w:pPr>
      <w:r>
        <w:rPr>
          <w:color w:val="D4AF37"/>
          <w:sz w:val="20"/>
        </w:rPr>
        <w:t xml:space="preserve">❌  </w:t>
      </w:r>
      <w:r>
        <w:rPr>
          <w:color w:val="1A1A2E"/>
          <w:sz w:val="20"/>
        </w:rPr>
        <w:t>Réconciliation des paiements Mobile Money fastidieuse et source d’erreurs</w:t>
      </w:r>
    </w:p>
    <w:p w14:paraId="559D4AA0">
      <w:pPr>
        <w:spacing w:before="0" w:after="80"/>
        <w:jc w:val="both"/>
      </w:pPr>
      <w:r>
        <w:rPr>
          <w:color w:val="1A1A2E"/>
          <w:sz w:val="20"/>
        </w:rPr>
        <w:t>✅  Solution Prospera : Scoring IA dynamique, relances multi-canal automatisées (WhatsApp, SMS), gestion des mauvais payeurs, équipes de recouvrement dédiées.</w:t>
      </w:r>
    </w:p>
    <w:p w14:paraId="67F5AE97">
      <w:pPr>
        <w:spacing w:before="160" w:after="60"/>
      </w:pPr>
      <w:r>
        <w:rPr>
          <w:b/>
          <w:color w:val="1A2E4A"/>
          <w:sz w:val="24"/>
        </w:rPr>
        <w:t>2.3 Opérations en zones rurales</w:t>
      </w:r>
    </w:p>
    <w:p w14:paraId="2225C24D">
      <w:pPr>
        <w:spacing w:before="40" w:after="40"/>
        <w:ind w:left="360" w:hanging="360"/>
      </w:pPr>
      <w:r>
        <w:rPr>
          <w:color w:val="D4AF37"/>
          <w:sz w:val="20"/>
        </w:rPr>
        <w:t xml:space="preserve">❌  </w:t>
      </w:r>
      <w:r>
        <w:rPr>
          <w:color w:val="1A1A2E"/>
          <w:sz w:val="20"/>
        </w:rPr>
        <w:t>Pas de connectivité internet dans les zones d’intervention</w:t>
      </w:r>
    </w:p>
    <w:p w14:paraId="35ABE993">
      <w:pPr>
        <w:spacing w:before="40" w:after="40"/>
        <w:ind w:left="360" w:hanging="360"/>
      </w:pPr>
      <w:r>
        <w:rPr>
          <w:color w:val="D4AF37"/>
          <w:sz w:val="20"/>
        </w:rPr>
        <w:t xml:space="preserve">❌  </w:t>
      </w:r>
      <w:r>
        <w:rPr>
          <w:color w:val="1A1A2E"/>
          <w:sz w:val="20"/>
        </w:rPr>
        <w:t>Les applications classiques deviennent inutilisables hors ligne</w:t>
      </w:r>
    </w:p>
    <w:p w14:paraId="5030B436">
      <w:pPr>
        <w:spacing w:before="40" w:after="40"/>
        <w:ind w:left="360" w:hanging="360"/>
      </w:pPr>
      <w:r>
        <w:rPr>
          <w:color w:val="D4AF37"/>
          <w:sz w:val="20"/>
        </w:rPr>
        <w:t xml:space="preserve">❌  </w:t>
      </w:r>
      <w:r>
        <w:rPr>
          <w:color w:val="1A1A2E"/>
          <w:sz w:val="20"/>
        </w:rPr>
        <w:t>Les données terrain sont saisies des heures ou des jours après la visite</w:t>
      </w:r>
    </w:p>
    <w:p w14:paraId="6C08F76F">
      <w:pPr>
        <w:spacing w:before="0" w:after="80"/>
        <w:jc w:val="both"/>
      </w:pPr>
      <w:r>
        <w:rPr>
          <w:color w:val="1A1A2E"/>
          <w:sz w:val="20"/>
        </w:rPr>
        <w:t>✅  Solution Prospera : Module terrain hors-ligne avec synchronisation différée dès le retour en zone connectée.</w:t>
      </w:r>
    </w:p>
    <w:p w14:paraId="59723BD8">
      <w:pPr>
        <w:spacing w:before="160" w:after="60"/>
      </w:pPr>
      <w:r>
        <w:rPr>
          <w:b/>
          <w:color w:val="1A2E4A"/>
          <w:sz w:val="24"/>
        </w:rPr>
        <w:t>2.4 Conformité et reporting réglementaire</w:t>
      </w:r>
    </w:p>
    <w:p w14:paraId="475D13B7">
      <w:pPr>
        <w:spacing w:before="40" w:after="40"/>
        <w:ind w:left="360" w:hanging="360"/>
      </w:pPr>
      <w:r>
        <w:rPr>
          <w:color w:val="D4AF37"/>
          <w:sz w:val="20"/>
        </w:rPr>
        <w:t xml:space="preserve">❌  </w:t>
      </w:r>
      <w:r>
        <w:rPr>
          <w:color w:val="1A1A2E"/>
          <w:sz w:val="20"/>
        </w:rPr>
        <w:t>Les rapports pour les régulateurs (BCEAO, banques centrales) sont compilés manuellement</w:t>
      </w:r>
    </w:p>
    <w:p w14:paraId="34A68A1E">
      <w:pPr>
        <w:spacing w:before="40" w:after="40"/>
        <w:ind w:left="360" w:hanging="360"/>
      </w:pPr>
      <w:r>
        <w:rPr>
          <w:color w:val="D4AF37"/>
          <w:sz w:val="20"/>
        </w:rPr>
        <w:t xml:space="preserve">❌  </w:t>
      </w:r>
      <w:r>
        <w:rPr>
          <w:color w:val="1A1A2E"/>
          <w:sz w:val="20"/>
        </w:rPr>
        <w:t>Risques d’erreur dans les déclarations de PAR et de taux de remboursement</w:t>
      </w:r>
    </w:p>
    <w:p w14:paraId="5061B751">
      <w:pPr>
        <w:spacing w:before="40" w:after="40"/>
        <w:ind w:left="360" w:hanging="360"/>
      </w:pPr>
      <w:r>
        <w:rPr>
          <w:color w:val="D4AF37"/>
          <w:sz w:val="20"/>
        </w:rPr>
        <w:t xml:space="preserve">❌  </w:t>
      </w:r>
      <w:r>
        <w:rPr>
          <w:color w:val="1A1A2E"/>
          <w:sz w:val="20"/>
        </w:rPr>
        <w:t>Facturation non conforme aux exigences fiscales locales</w:t>
      </w:r>
    </w:p>
    <w:p w14:paraId="15AAC9E2">
      <w:pPr>
        <w:spacing w:before="0" w:after="80"/>
        <w:jc w:val="both"/>
      </w:pPr>
      <w:r>
        <w:rPr>
          <w:color w:val="1A1A2E"/>
          <w:sz w:val="20"/>
        </w:rPr>
        <w:t>✅  Solution Prospera : Module conformité BCEAO avec export PDF automatisé, comptabilité SYSCOHADA et audit complet.</w:t>
      </w:r>
    </w:p>
    <w:p w14:paraId="51D6A9A5">
      <w:pPr>
        <w:spacing w:before="160" w:after="60"/>
      </w:pPr>
      <w:r>
        <w:rPr>
          <w:b/>
          <w:color w:val="1A2E4A"/>
          <w:sz w:val="24"/>
        </w:rPr>
        <w:t>2.5 Pilotage multi-niveaux et multi-acteurs</w:t>
      </w:r>
    </w:p>
    <w:p w14:paraId="6C9D455C">
      <w:pPr>
        <w:spacing w:before="40" w:after="40"/>
        <w:ind w:left="360" w:hanging="360"/>
      </w:pPr>
      <w:r>
        <w:rPr>
          <w:color w:val="D4AF37"/>
          <w:sz w:val="20"/>
        </w:rPr>
        <w:t xml:space="preserve">❌  </w:t>
      </w:r>
      <w:r>
        <w:rPr>
          <w:color w:val="1A1A2E"/>
          <w:sz w:val="20"/>
        </w:rPr>
        <w:t>Absence de vue consolidée pour la Direction Générale</w:t>
      </w:r>
    </w:p>
    <w:p w14:paraId="6556A15F">
      <w:pPr>
        <w:spacing w:before="40" w:after="40"/>
        <w:ind w:left="360" w:hanging="360"/>
      </w:pPr>
      <w:r>
        <w:rPr>
          <w:color w:val="D4AF37"/>
          <w:sz w:val="20"/>
        </w:rPr>
        <w:t xml:space="preserve">❌  </w:t>
      </w:r>
      <w:r>
        <w:rPr>
          <w:color w:val="1A1A2E"/>
          <w:sz w:val="20"/>
        </w:rPr>
        <w:t>Silos d’information entre départements</w:t>
      </w:r>
    </w:p>
    <w:p w14:paraId="1AEEDBA4">
      <w:pPr>
        <w:spacing w:before="40" w:after="40"/>
        <w:ind w:left="360" w:hanging="360"/>
      </w:pPr>
      <w:r>
        <w:rPr>
          <w:color w:val="D4AF37"/>
          <w:sz w:val="20"/>
        </w:rPr>
        <w:t xml:space="preserve">❌  </w:t>
      </w:r>
      <w:r>
        <w:rPr>
          <w:color w:val="1A1A2E"/>
          <w:sz w:val="20"/>
        </w:rPr>
        <w:t>Pas de drill-down des KPIs</w:t>
      </w:r>
    </w:p>
    <w:p w14:paraId="505E99FC">
      <w:pPr>
        <w:spacing w:before="0" w:after="80"/>
        <w:jc w:val="both"/>
      </w:pPr>
      <w:r>
        <w:rPr>
          <w:color w:val="1A1A2E"/>
          <w:sz w:val="20"/>
        </w:rPr>
        <w:t>✅  Solution Prospera : 10 rôles avec tableaux de bord dédiés, vues 360° (DG, DC, DEC, ROC, Opérationnel), drill-down jusqu’à la transaction individuelle.</w:t>
      </w:r>
    </w:p>
    <w:p w14:paraId="15FFAD9E">
      <w:pPr>
        <w:spacing w:before="160" w:after="60"/>
      </w:pPr>
      <w:r>
        <w:rPr>
          <w:b/>
          <w:color w:val="1A2E4A"/>
          <w:sz w:val="24"/>
        </w:rPr>
        <w:t>2.6 Impact chiffré</w:t>
      </w:r>
    </w:p>
    <w:p w14:paraId="379EBFD8">
      <w:pPr>
        <w:spacing w:before="0" w:after="80"/>
        <w:jc w:val="both"/>
      </w:pPr>
      <w:r>
        <w:rPr>
          <w:color w:val="1A1A2E"/>
          <w:sz w:val="20"/>
        </w:rPr>
        <w:t>Une IMF type avec 50 agents de crédit et un portefeuille de 2 milliards FCFA peut perdre jusqu’à 200 millions FCFA par an à cause de ces inefficacités.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3118"/>
      </w:tblGrid>
      <w:tr w14:paraId="53CD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A2E4A"/>
            <w:vAlign w:val="center"/>
          </w:tcPr>
          <w:p w14:paraId="0E535BAC">
            <w:pPr>
              <w:spacing w:before="60" w:after="60" w:line="240" w:lineRule="auto"/>
              <w:jc w:val="center"/>
            </w:pPr>
            <w:r>
              <w:rPr>
                <w:b/>
                <w:color w:val="FFFFFF"/>
                <w:sz w:val="18"/>
              </w:rPr>
              <w:t>Problème</w:t>
            </w:r>
          </w:p>
        </w:tc>
        <w:tc>
          <w:tcPr>
            <w:tcW w:w="2835" w:type="dxa"/>
            <w:shd w:val="clear" w:color="auto" w:fill="1A2E4A"/>
            <w:vAlign w:val="center"/>
          </w:tcPr>
          <w:p w14:paraId="04AF01CA">
            <w:pPr>
              <w:spacing w:before="60" w:after="60" w:line="240" w:lineRule="auto"/>
              <w:jc w:val="center"/>
            </w:pPr>
            <w:r>
              <w:rPr>
                <w:b/>
                <w:color w:val="FFFFFF"/>
                <w:sz w:val="18"/>
              </w:rPr>
              <w:t>Conséquence</w:t>
            </w:r>
          </w:p>
        </w:tc>
        <w:tc>
          <w:tcPr>
            <w:tcW w:w="3118" w:type="dxa"/>
            <w:shd w:val="clear" w:color="auto" w:fill="1A2E4A"/>
            <w:vAlign w:val="center"/>
          </w:tcPr>
          <w:p w14:paraId="5EB6F517">
            <w:pPr>
              <w:spacing w:before="60" w:after="60" w:line="240" w:lineRule="auto"/>
              <w:jc w:val="center"/>
            </w:pPr>
            <w:r>
              <w:rPr>
                <w:b/>
                <w:color w:val="FFFFFF"/>
                <w:sz w:val="18"/>
              </w:rPr>
              <w:t>Coût estimé</w:t>
            </w:r>
          </w:p>
        </w:tc>
      </w:tr>
      <w:tr w14:paraId="762A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D978579">
            <w:pPr>
              <w:spacing w:before="40" w:after="40" w:line="240" w:lineRule="auto"/>
            </w:pPr>
            <w:r>
              <w:rPr>
                <w:color w:val="1A1A2E"/>
                <w:sz w:val="18"/>
              </w:rPr>
              <w:t>Défauts non anticipés</w:t>
            </w:r>
          </w:p>
        </w:tc>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4FCD8B0">
            <w:pPr>
              <w:spacing w:before="40" w:after="40" w:line="240" w:lineRule="auto"/>
            </w:pPr>
            <w:r>
              <w:rPr>
                <w:color w:val="1A1A2E"/>
                <w:sz w:val="18"/>
              </w:rPr>
              <w:t>PAR &gt; 30j dépasse 10 %</w:t>
            </w:r>
          </w:p>
        </w:tc>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02E7A11">
            <w:pPr>
              <w:spacing w:before="40" w:after="40" w:line="240" w:lineRule="auto"/>
            </w:pPr>
            <w:r>
              <w:rPr>
                <w:color w:val="1A1A2E"/>
                <w:sz w:val="18"/>
              </w:rPr>
              <w:t>5–15 % du portefeuille perdu</w:t>
            </w:r>
          </w:p>
        </w:tc>
      </w:tr>
      <w:tr w14:paraId="563D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187BC18">
            <w:pPr>
              <w:spacing w:before="40" w:after="40" w:line="240" w:lineRule="auto"/>
            </w:pPr>
            <w:r>
              <w:rPr>
                <w:color w:val="1A1A2E"/>
                <w:sz w:val="18"/>
              </w:rPr>
              <w:t>Espèces non tracées</w:t>
            </w:r>
          </w:p>
        </w:tc>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58559FE">
            <w:pPr>
              <w:spacing w:before="40" w:after="40" w:line="240" w:lineRule="auto"/>
            </w:pPr>
            <w:r>
              <w:rPr>
                <w:color w:val="1A1A2E"/>
                <w:sz w:val="18"/>
              </w:rPr>
              <w:t>Fraude et détournement agents</w:t>
            </w:r>
          </w:p>
        </w:tc>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1091E4E6">
            <w:pPr>
              <w:spacing w:before="40" w:after="40" w:line="240" w:lineRule="auto"/>
            </w:pPr>
            <w:r>
              <w:rPr>
                <w:color w:val="1A1A2E"/>
                <w:sz w:val="18"/>
              </w:rPr>
              <w:t>3–8 % des collectes</w:t>
            </w:r>
          </w:p>
        </w:tc>
      </w:tr>
      <w:tr w14:paraId="0C4B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7C6C1BE">
            <w:pPr>
              <w:spacing w:before="40" w:after="40" w:line="240" w:lineRule="auto"/>
            </w:pPr>
            <w:r>
              <w:rPr>
                <w:color w:val="1A1A2E"/>
                <w:sz w:val="18"/>
              </w:rPr>
              <w:t>Agents non supervisés</w:t>
            </w:r>
          </w:p>
        </w:tc>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2B48009">
            <w:pPr>
              <w:spacing w:before="40" w:after="40" w:line="240" w:lineRule="auto"/>
            </w:pPr>
            <w:r>
              <w:rPr>
                <w:color w:val="1A1A2E"/>
                <w:sz w:val="18"/>
              </w:rPr>
              <w:t>Faible couverture clients</w:t>
            </w:r>
          </w:p>
        </w:tc>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47E5BDA">
            <w:pPr>
              <w:spacing w:before="40" w:after="40" w:line="240" w:lineRule="auto"/>
            </w:pPr>
            <w:r>
              <w:rPr>
                <w:color w:val="1A1A2E"/>
                <w:sz w:val="18"/>
              </w:rPr>
              <w:t>40 % du temps non productif</w:t>
            </w:r>
          </w:p>
        </w:tc>
      </w:tr>
      <w:tr w14:paraId="5024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E43DA2C">
            <w:pPr>
              <w:spacing w:before="40" w:after="40" w:line="240" w:lineRule="auto"/>
            </w:pPr>
            <w:r>
              <w:rPr>
                <w:color w:val="1A1A2E"/>
                <w:sz w:val="18"/>
              </w:rPr>
              <w:t>Reporting manuel</w:t>
            </w:r>
          </w:p>
        </w:tc>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5E99036">
            <w:pPr>
              <w:spacing w:before="40" w:after="40" w:line="240" w:lineRule="auto"/>
            </w:pPr>
            <w:r>
              <w:rPr>
                <w:color w:val="1A1A2E"/>
                <w:sz w:val="18"/>
              </w:rPr>
              <w:t>Non-conformité BCEAO</w:t>
            </w:r>
          </w:p>
        </w:tc>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7C9810A">
            <w:pPr>
              <w:spacing w:before="40" w:after="40" w:line="240" w:lineRule="auto"/>
            </w:pPr>
            <w:r>
              <w:rPr>
                <w:color w:val="1A1A2E"/>
                <w:sz w:val="18"/>
              </w:rPr>
              <w:t>Risque de sanctions</w:t>
            </w:r>
          </w:p>
        </w:tc>
      </w:tr>
      <w:tr w14:paraId="67F9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2391959">
            <w:pPr>
              <w:spacing w:before="40" w:after="40" w:line="240" w:lineRule="auto"/>
            </w:pPr>
            <w:r>
              <w:rPr>
                <w:color w:val="1A1A2E"/>
                <w:sz w:val="18"/>
              </w:rPr>
              <w:t>Pas de mode offline</w:t>
            </w:r>
          </w:p>
        </w:tc>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A0583F2">
            <w:pPr>
              <w:spacing w:before="40" w:after="40" w:line="240" w:lineRule="auto"/>
            </w:pPr>
            <w:r>
              <w:rPr>
                <w:color w:val="1A1A2E"/>
                <w:sz w:val="18"/>
              </w:rPr>
              <w:t>Données incomplètes</w:t>
            </w:r>
          </w:p>
        </w:tc>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1F3E604">
            <w:pPr>
              <w:spacing w:before="40" w:after="40" w:line="240" w:lineRule="auto"/>
            </w:pPr>
            <w:r>
              <w:rPr>
                <w:color w:val="1A1A2E"/>
                <w:sz w:val="18"/>
              </w:rPr>
              <w:t>Décisions mal informées</w:t>
            </w:r>
          </w:p>
        </w:tc>
      </w:tr>
      <w:tr w14:paraId="2A00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A6EB6DD">
            <w:pPr>
              <w:spacing w:before="40" w:after="40" w:line="240" w:lineRule="auto"/>
            </w:pPr>
            <w:r>
              <w:rPr>
                <w:color w:val="1A1A2E"/>
                <w:sz w:val="18"/>
              </w:rPr>
              <w:t>Silos entre rôles</w:t>
            </w:r>
          </w:p>
        </w:tc>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B608878">
            <w:pPr>
              <w:spacing w:before="40" w:after="40" w:line="240" w:lineRule="auto"/>
            </w:pPr>
            <w:r>
              <w:rPr>
                <w:color w:val="1A1A2E"/>
                <w:sz w:val="18"/>
              </w:rPr>
              <w:t>Manque de coordination</w:t>
            </w:r>
          </w:p>
        </w:tc>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E4FC9DB">
            <w:pPr>
              <w:spacing w:before="40" w:after="40" w:line="240" w:lineRule="auto"/>
            </w:pPr>
            <w:r>
              <w:rPr>
                <w:color w:val="1A1A2E"/>
                <w:sz w:val="18"/>
              </w:rPr>
              <w:t>20 % de perte d’efficacité</w:t>
            </w:r>
          </w:p>
        </w:tc>
      </w:tr>
    </w:tbl>
    <w:p w14:paraId="473FFE1B"/>
    <w:p w14:paraId="5F93E430">
      <w:r>
        <w:br w:type="page"/>
      </w:r>
    </w:p>
    <w:p w14:paraId="43CE5B14">
      <w:pPr>
        <w:pBdr>
          <w:bottom w:val="single" w:color="D4AF37" w:sz="6" w:space="1"/>
        </w:pBdr>
        <w:spacing w:before="240" w:after="80"/>
      </w:pPr>
      <w:r>
        <w:rPr>
          <w:b/>
          <w:color w:val="1A2E4A"/>
          <w:sz w:val="32"/>
        </w:rPr>
        <w:t>3. Prospera adapté à la microfinance</w:t>
      </w:r>
    </w:p>
    <w:p w14:paraId="1A2C46FE">
      <w:pPr>
        <w:spacing w:before="0" w:after="80"/>
        <w:jc w:val="both"/>
      </w:pPr>
      <w:r>
        <w:rPr>
          <w:color w:val="1A1A2E"/>
          <w:sz w:val="20"/>
        </w:rPr>
        <w:t>Chaque pilier de Prospera a été pensé pour répondre aux besoins spécifiques de la microfinance africaine. Voici comment les fonctionnalités de la plateforme se traduisent concrètement dans votre quotidien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0769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1E3A5F"/>
          </w:tcPr>
          <w:p w14:paraId="311A7E83">
            <w:pPr>
              <w:spacing w:before="80" w:after="80" w:line="240" w:lineRule="auto"/>
              <w:jc w:val="center"/>
            </w:pPr>
            <w:r>
              <w:rPr>
                <w:b/>
                <w:caps/>
                <w:color w:val="FFFFFF"/>
                <w:sz w:val="20"/>
              </w:rPr>
              <w:t>GESTION DU PORTEFEUILLE DE CRÉDIT</w:t>
            </w:r>
          </w:p>
        </w:tc>
      </w:tr>
    </w:tbl>
    <w:p w14:paraId="4DBD8E51"/>
    <w:p w14:paraId="147EE517">
      <w:pPr>
        <w:spacing w:before="160" w:after="60"/>
      </w:pPr>
      <w:r>
        <w:rPr>
          <w:b/>
          <w:color w:val="1A2E4A"/>
          <w:sz w:val="24"/>
        </w:rPr>
        <w:t>3.1 CRM Emprunteurs &amp; Cycle Crédit complet</w:t>
      </w:r>
    </w:p>
    <w:p w14:paraId="2D53F169">
      <w:pPr>
        <w:spacing w:before="120" w:after="40"/>
      </w:pPr>
      <w:r>
        <w:rPr>
          <w:b/>
          <w:color w:val="1E3A5F"/>
          <w:sz w:val="21"/>
        </w:rPr>
        <w:t>Pipeline crédit</w:t>
      </w:r>
    </w:p>
    <w:p w14:paraId="78B8CA83">
      <w:pPr>
        <w:spacing w:before="0" w:after="80"/>
        <w:jc w:val="both"/>
      </w:pPr>
      <w:r>
        <w:rPr>
          <w:color w:val="1A1A2E"/>
          <w:sz w:val="20"/>
        </w:rPr>
        <w:t>Le pipeline crédit couvre l’intégralité du cycle de vie du prêt, de la prospection à la clôture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3118"/>
        <w:gridCol w:w="3685"/>
      </w:tblGrid>
      <w:tr w14:paraId="006FC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A2E4A"/>
            <w:vAlign w:val="center"/>
          </w:tcPr>
          <w:p w14:paraId="3D560FE6">
            <w:pPr>
              <w:spacing w:before="60" w:after="60" w:line="240" w:lineRule="auto"/>
              <w:jc w:val="center"/>
            </w:pPr>
            <w:r>
              <w:rPr>
                <w:b/>
                <w:color w:val="FFFFFF"/>
                <w:sz w:val="18"/>
              </w:rPr>
              <w:t>Étape</w:t>
            </w:r>
          </w:p>
        </w:tc>
        <w:tc>
          <w:tcPr>
            <w:tcW w:w="3118" w:type="dxa"/>
            <w:shd w:val="clear" w:color="auto" w:fill="1A2E4A"/>
            <w:vAlign w:val="center"/>
          </w:tcPr>
          <w:p w14:paraId="010E701D">
            <w:pPr>
              <w:spacing w:before="60" w:after="60" w:line="240" w:lineRule="auto"/>
              <w:jc w:val="center"/>
            </w:pPr>
            <w:r>
              <w:rPr>
                <w:b/>
                <w:color w:val="FFFFFF"/>
                <w:sz w:val="18"/>
              </w:rPr>
              <w:t>Description</w:t>
            </w:r>
          </w:p>
        </w:tc>
        <w:tc>
          <w:tcPr>
            <w:tcW w:w="3685" w:type="dxa"/>
            <w:shd w:val="clear" w:color="auto" w:fill="1A2E4A"/>
            <w:vAlign w:val="center"/>
          </w:tcPr>
          <w:p w14:paraId="352A68EC">
            <w:pPr>
              <w:spacing w:before="60" w:after="60" w:line="240" w:lineRule="auto"/>
              <w:jc w:val="center"/>
            </w:pPr>
            <w:r>
              <w:rPr>
                <w:b/>
                <w:color w:val="FFFFFF"/>
                <w:sz w:val="18"/>
              </w:rPr>
              <w:t>IA associée</w:t>
            </w:r>
          </w:p>
        </w:tc>
      </w:tr>
      <w:tr w14:paraId="25A3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DE41CDA">
            <w:pPr>
              <w:spacing w:before="40" w:after="40" w:line="240" w:lineRule="auto"/>
            </w:pPr>
            <w:r>
              <w:rPr>
                <w:color w:val="1A1A2E"/>
                <w:sz w:val="18"/>
              </w:rPr>
              <w:t>Prospection</w:t>
            </w:r>
          </w:p>
        </w:tc>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CB6C67C">
            <w:pPr>
              <w:spacing w:before="40" w:after="40" w:line="240" w:lineRule="auto"/>
            </w:pPr>
            <w:r>
              <w:rPr>
                <w:color w:val="1A1A2E"/>
                <w:sz w:val="18"/>
              </w:rPr>
              <w:t>Identification de nouveaux emprunteurs potentiels</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76E04BD">
            <w:pPr>
              <w:spacing w:before="40" w:after="40" w:line="240" w:lineRule="auto"/>
            </w:pPr>
            <w:r>
              <w:rPr>
                <w:color w:val="1A1A2E"/>
                <w:sz w:val="18"/>
              </w:rPr>
              <w:t>Scoring géographique des zones à fort potentiel</w:t>
            </w:r>
          </w:p>
        </w:tc>
      </w:tr>
      <w:tr w14:paraId="02BD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3B1141D">
            <w:pPr>
              <w:spacing w:before="40" w:after="40" w:line="240" w:lineRule="auto"/>
            </w:pPr>
            <w:r>
              <w:rPr>
                <w:color w:val="1A1A2E"/>
                <w:sz w:val="18"/>
              </w:rPr>
              <w:t>Demande de prêt</w:t>
            </w:r>
          </w:p>
        </w:tc>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2E311A4">
            <w:pPr>
              <w:spacing w:before="40" w:after="40" w:line="240" w:lineRule="auto"/>
            </w:pPr>
            <w:r>
              <w:rPr>
                <w:color w:val="1A1A2E"/>
                <w:sz w:val="18"/>
              </w:rPr>
              <w:t>Collecte des informations et documents</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08E9CCD">
            <w:pPr>
              <w:spacing w:before="40" w:after="40" w:line="240" w:lineRule="auto"/>
            </w:pPr>
            <w:r>
              <w:rPr>
                <w:color w:val="1A1A2E"/>
                <w:sz w:val="18"/>
              </w:rPr>
              <w:t>Pré-scoring automatique de solvabilité</w:t>
            </w:r>
          </w:p>
        </w:tc>
      </w:tr>
      <w:tr w14:paraId="7A0D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C1B6066">
            <w:pPr>
              <w:spacing w:before="40" w:after="40" w:line="240" w:lineRule="auto"/>
            </w:pPr>
            <w:r>
              <w:rPr>
                <w:color w:val="1A1A2E"/>
                <w:sz w:val="18"/>
              </w:rPr>
              <w:t>Évaluation</w:t>
            </w:r>
          </w:p>
        </w:tc>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31BE7E6">
            <w:pPr>
              <w:spacing w:before="40" w:after="40" w:line="240" w:lineRule="auto"/>
            </w:pPr>
            <w:r>
              <w:rPr>
                <w:color w:val="1A1A2E"/>
                <w:sz w:val="18"/>
              </w:rPr>
              <w:t>Analyse du dossier et visite terrain</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3BCBD4A">
            <w:pPr>
              <w:spacing w:before="40" w:after="40" w:line="240" w:lineRule="auto"/>
            </w:pPr>
            <w:r>
              <w:rPr>
                <w:color w:val="1A1A2E"/>
                <w:sz w:val="18"/>
              </w:rPr>
              <w:t>Score de risque IA (0–100) basé sur l’historique</w:t>
            </w:r>
          </w:p>
        </w:tc>
      </w:tr>
      <w:tr w14:paraId="2D7E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4753191">
            <w:pPr>
              <w:spacing w:before="40" w:after="40" w:line="240" w:lineRule="auto"/>
            </w:pPr>
            <w:r>
              <w:rPr>
                <w:color w:val="1A1A2E"/>
                <w:sz w:val="18"/>
              </w:rPr>
              <w:t>Approbation</w:t>
            </w:r>
          </w:p>
        </w:tc>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2EE05E1">
            <w:pPr>
              <w:spacing w:before="40" w:after="40" w:line="240" w:lineRule="auto"/>
            </w:pPr>
            <w:r>
              <w:rPr>
                <w:color w:val="1A1A2E"/>
                <w:sz w:val="18"/>
              </w:rPr>
              <w:t>Validation par le comité de crédit</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4490C95">
            <w:pPr>
              <w:spacing w:before="40" w:after="40" w:line="240" w:lineRule="auto"/>
            </w:pPr>
            <w:r>
              <w:rPr>
                <w:color w:val="1A1A2E"/>
                <w:sz w:val="18"/>
              </w:rPr>
              <w:t>Recommandation IA sur le montant et la durée</w:t>
            </w:r>
          </w:p>
        </w:tc>
      </w:tr>
      <w:tr w14:paraId="1249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4232082">
            <w:pPr>
              <w:spacing w:before="40" w:after="40" w:line="240" w:lineRule="auto"/>
            </w:pPr>
            <w:r>
              <w:rPr>
                <w:color w:val="1A1A2E"/>
                <w:sz w:val="18"/>
              </w:rPr>
              <w:t>Décaissement</w:t>
            </w:r>
          </w:p>
        </w:tc>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CB5733B">
            <w:pPr>
              <w:spacing w:before="40" w:after="40" w:line="240" w:lineRule="auto"/>
            </w:pPr>
            <w:r>
              <w:rPr>
                <w:color w:val="1A1A2E"/>
                <w:sz w:val="18"/>
              </w:rPr>
              <w:t>Versement via Mobile Money ou virement</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1DC2F5E">
            <w:pPr>
              <w:spacing w:before="40" w:after="40" w:line="240" w:lineRule="auto"/>
            </w:pPr>
            <w:r>
              <w:rPr>
                <w:color w:val="1A1A2E"/>
                <w:sz w:val="18"/>
              </w:rPr>
              <w:t>Déclenchement automatique du plan de remboursement</w:t>
            </w:r>
          </w:p>
        </w:tc>
      </w:tr>
      <w:tr w14:paraId="4C44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EC2E71E">
            <w:pPr>
              <w:spacing w:before="40" w:after="40" w:line="240" w:lineRule="auto"/>
            </w:pPr>
            <w:r>
              <w:rPr>
                <w:color w:val="1A1A2E"/>
                <w:sz w:val="18"/>
              </w:rPr>
              <w:t>Remboursement</w:t>
            </w:r>
          </w:p>
        </w:tc>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40B00F6">
            <w:pPr>
              <w:spacing w:before="40" w:after="40" w:line="240" w:lineRule="auto"/>
            </w:pPr>
            <w:r>
              <w:rPr>
                <w:color w:val="1A1A2E"/>
                <w:sz w:val="18"/>
              </w:rPr>
              <w:t>Suivi des échéances et collecte</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1809A459">
            <w:pPr>
              <w:spacing w:before="40" w:after="40" w:line="240" w:lineRule="auto"/>
            </w:pPr>
            <w:r>
              <w:rPr>
                <w:color w:val="1A1A2E"/>
                <w:sz w:val="18"/>
              </w:rPr>
              <w:t>Alertes prédictives de défaut + relances intelligentes</w:t>
            </w:r>
          </w:p>
        </w:tc>
      </w:tr>
      <w:tr w14:paraId="0A49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6F321CB8">
            <w:pPr>
              <w:spacing w:before="40" w:after="40" w:line="240" w:lineRule="auto"/>
            </w:pPr>
            <w:r>
              <w:rPr>
                <w:color w:val="1A1A2E"/>
                <w:sz w:val="18"/>
              </w:rPr>
              <w:t>Clôture/Renouvellement</w:t>
            </w:r>
          </w:p>
        </w:tc>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F873244">
            <w:pPr>
              <w:spacing w:before="40" w:after="40" w:line="240" w:lineRule="auto"/>
            </w:pPr>
            <w:r>
              <w:rPr>
                <w:color w:val="1A1A2E"/>
                <w:sz w:val="18"/>
              </w:rPr>
              <w:t>Fin du prêt ou nouveau cycle</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078D5C2">
            <w:pPr>
              <w:spacing w:before="40" w:after="40" w:line="240" w:lineRule="auto"/>
            </w:pPr>
            <w:r>
              <w:rPr>
                <w:color w:val="1A1A2E"/>
                <w:sz w:val="18"/>
              </w:rPr>
              <w:t>Proposition automatique de renouvellement IA</w:t>
            </w:r>
          </w:p>
        </w:tc>
      </w:tr>
    </w:tbl>
    <w:p w14:paraId="3F816843"/>
    <w:p w14:paraId="0EA4D729">
      <w:pPr>
        <w:spacing w:before="120" w:after="40"/>
      </w:pPr>
      <w:r>
        <w:rPr>
          <w:b/>
          <w:color w:val="1E3A5F"/>
          <w:sz w:val="21"/>
        </w:rPr>
        <w:t>Workflow dossier crédit</w:t>
      </w:r>
    </w:p>
    <w:p w14:paraId="769202CD">
      <w:pPr>
        <w:spacing w:before="0" w:after="80"/>
        <w:jc w:val="both"/>
      </w:pPr>
      <w:r>
        <w:rPr>
          <w:color w:val="1A1A2E"/>
          <w:sz w:val="20"/>
        </w:rPr>
        <w:t>Chaque dossier suit un parcours guidé avec :</w:t>
      </w:r>
    </w:p>
    <w:p w14:paraId="4B789C18">
      <w:pPr>
        <w:spacing w:before="40" w:after="40"/>
        <w:ind w:left="360" w:hanging="360"/>
      </w:pPr>
      <w:r>
        <w:rPr>
          <w:color w:val="D4AF37"/>
          <w:sz w:val="20"/>
        </w:rPr>
        <w:t xml:space="preserve">•  </w:t>
      </w:r>
      <w:r>
        <w:rPr>
          <w:color w:val="1A1A2E"/>
          <w:sz w:val="20"/>
        </w:rPr>
        <w:t>Actions contextuelles selon le rôle de l’utilisateur</w:t>
      </w:r>
    </w:p>
    <w:p w14:paraId="31098B88">
      <w:pPr>
        <w:spacing w:before="40" w:after="40"/>
        <w:ind w:left="360" w:hanging="360"/>
      </w:pPr>
      <w:r>
        <w:rPr>
          <w:color w:val="D4AF37"/>
          <w:sz w:val="20"/>
        </w:rPr>
        <w:t xml:space="preserve">•  </w:t>
      </w:r>
      <w:r>
        <w:rPr>
          <w:color w:val="1A1A2E"/>
          <w:sz w:val="20"/>
        </w:rPr>
        <w:t>Checklist d’instruction pour le Chargé de Crédit</w:t>
      </w:r>
    </w:p>
    <w:p w14:paraId="0FCCF01F">
      <w:pPr>
        <w:spacing w:before="40" w:after="40"/>
        <w:ind w:left="360" w:hanging="360"/>
      </w:pPr>
      <w:r>
        <w:rPr>
          <w:color w:val="D4AF37"/>
          <w:sz w:val="20"/>
        </w:rPr>
        <w:t xml:space="preserve">•  </w:t>
      </w:r>
      <w:r>
        <w:rPr>
          <w:color w:val="1A1A2E"/>
          <w:sz w:val="20"/>
        </w:rPr>
        <w:t>Rapport d’analyse IA du dossier</w:t>
      </w:r>
    </w:p>
    <w:p w14:paraId="47DCD115">
      <w:pPr>
        <w:spacing w:before="40" w:after="40"/>
        <w:ind w:left="360" w:hanging="360"/>
      </w:pPr>
      <w:r>
        <w:rPr>
          <w:color w:val="D4AF37"/>
          <w:sz w:val="20"/>
        </w:rPr>
        <w:t xml:space="preserve">•  </w:t>
      </w:r>
      <w:r>
        <w:rPr>
          <w:color w:val="1A1A2E"/>
          <w:sz w:val="20"/>
        </w:rPr>
        <w:t>Score de risque prédictif et recommandation</w:t>
      </w:r>
    </w:p>
    <w:p w14:paraId="79FFD802">
      <w:pPr>
        <w:spacing w:before="40" w:after="40"/>
        <w:ind w:left="360" w:hanging="360"/>
      </w:pPr>
      <w:r>
        <w:rPr>
          <w:color w:val="D4AF37"/>
          <w:sz w:val="20"/>
        </w:rPr>
        <w:t xml:space="preserve">•  </w:t>
      </w:r>
      <w:r>
        <w:rPr>
          <w:color w:val="1A1A2E"/>
          <w:sz w:val="20"/>
        </w:rPr>
        <w:t>Validation en comité avec conditions finales</w:t>
      </w:r>
    </w:p>
    <w:p w14:paraId="429A6C83">
      <w:pPr>
        <w:spacing w:before="120" w:after="40"/>
      </w:pPr>
      <w:r>
        <w:rPr>
          <w:b/>
          <w:color w:val="1E3A5F"/>
          <w:sz w:val="21"/>
        </w:rPr>
        <w:t>Analyse crédit</w:t>
      </w:r>
    </w:p>
    <w:p w14:paraId="154D27FD">
      <w:pPr>
        <w:spacing w:before="40" w:after="40"/>
        <w:ind w:left="360" w:hanging="360"/>
      </w:pPr>
      <w:r>
        <w:rPr>
          <w:color w:val="D4AF37"/>
          <w:sz w:val="20"/>
        </w:rPr>
        <w:t xml:space="preserve">•  </w:t>
      </w:r>
      <w:r>
        <w:rPr>
          <w:color w:val="1A1A2E"/>
          <w:sz w:val="20"/>
        </w:rPr>
        <w:t>Analyse comportementale des emprunteurs</w:t>
      </w:r>
    </w:p>
    <w:p w14:paraId="4CF1AC01">
      <w:pPr>
        <w:spacing w:before="40" w:after="40"/>
        <w:ind w:left="360" w:hanging="360"/>
      </w:pPr>
      <w:r>
        <w:rPr>
          <w:color w:val="D4AF37"/>
          <w:sz w:val="20"/>
        </w:rPr>
        <w:t xml:space="preserve">•  </w:t>
      </w:r>
      <w:r>
        <w:rPr>
          <w:color w:val="1A1A2E"/>
          <w:sz w:val="20"/>
        </w:rPr>
        <w:t>Historique de risque et incidents de paiement</w:t>
      </w:r>
    </w:p>
    <w:p w14:paraId="6E2B15D5">
      <w:pPr>
        <w:spacing w:before="40" w:after="40"/>
        <w:ind w:left="360" w:hanging="360"/>
      </w:pPr>
      <w:r>
        <w:rPr>
          <w:color w:val="D4AF37"/>
          <w:sz w:val="20"/>
        </w:rPr>
        <w:t xml:space="preserve">•  </w:t>
      </w:r>
      <w:r>
        <w:rPr>
          <w:color w:val="1A1A2E"/>
          <w:sz w:val="20"/>
        </w:rPr>
        <w:t>Score prédictif 0–100</w:t>
      </w:r>
    </w:p>
    <w:p w14:paraId="2B575F65">
      <w:pPr>
        <w:spacing w:before="40" w:after="40"/>
        <w:ind w:left="360" w:hanging="360"/>
        <w:rPr>
          <w:color w:val="1A1A2E"/>
          <w:sz w:val="20"/>
        </w:rPr>
      </w:pPr>
      <w:r>
        <w:rPr>
          <w:color w:val="D4AF37"/>
          <w:sz w:val="20"/>
        </w:rPr>
        <w:t xml:space="preserve">•  </w:t>
      </w:r>
      <w:r>
        <w:rPr>
          <w:color w:val="1A1A2E"/>
          <w:sz w:val="20"/>
        </w:rPr>
        <w:t>Fiches enrichies avec données socio-économiques</w:t>
      </w:r>
    </w:p>
    <w:p w14:paraId="342DBF3B">
      <w:pPr>
        <w:spacing w:before="40" w:after="40"/>
        <w:ind w:left="360" w:hanging="360"/>
        <w:rPr>
          <w:color w:val="1A1A2E"/>
          <w:sz w:val="20"/>
        </w:rPr>
      </w:pPr>
    </w:p>
    <w:p w14:paraId="36035EBE">
      <w:pPr>
        <w:spacing w:before="40" w:after="40"/>
        <w:ind w:left="360" w:hanging="360"/>
        <w:rPr>
          <w:color w:val="1A1A2E"/>
          <w:sz w:val="20"/>
        </w:rPr>
      </w:pPr>
    </w:p>
    <w:p w14:paraId="4FB4EAB0">
      <w:pPr>
        <w:spacing w:before="40" w:after="40"/>
        <w:ind w:left="360" w:hanging="360"/>
        <w:rPr>
          <w:color w:val="1A1A2E"/>
          <w:sz w:val="20"/>
        </w:rPr>
      </w:pPr>
    </w:p>
    <w:p w14:paraId="7B790EB2">
      <w:pPr>
        <w:spacing w:before="40" w:after="40"/>
        <w:ind w:left="360" w:hanging="360"/>
        <w:rPr>
          <w:color w:val="1A1A2E"/>
          <w:sz w:val="20"/>
        </w:rPr>
      </w:pPr>
    </w:p>
    <w:p w14:paraId="0C2DBEFC">
      <w:pPr>
        <w:spacing w:before="40" w:after="40"/>
        <w:ind w:left="360" w:hanging="360"/>
        <w:rPr>
          <w:color w:val="1A1A2E"/>
          <w:sz w:val="20"/>
        </w:rPr>
      </w:pPr>
    </w:p>
    <w:p w14:paraId="2C187AFF">
      <w:pPr>
        <w:spacing w:before="40" w:after="40"/>
        <w:ind w:left="360" w:hanging="360"/>
        <w:rPr>
          <w:color w:val="1A1A2E"/>
          <w:sz w:val="20"/>
        </w:rPr>
      </w:pPr>
    </w:p>
    <w:p w14:paraId="2C6EA48A">
      <w:pPr>
        <w:spacing w:before="160" w:after="60"/>
      </w:pPr>
      <w:r>
        <w:rPr>
          <w:b/>
          <w:color w:val="1A2E4A"/>
          <w:sz w:val="24"/>
        </w:rPr>
        <w:t>3.2 Tableaux de bord par rôle (10 personas)</w:t>
      </w:r>
    </w:p>
    <w:p w14:paraId="42E7F311">
      <w:pPr>
        <w:spacing w:before="0" w:after="80"/>
        <w:jc w:val="both"/>
      </w:pPr>
      <w:r>
        <w:rPr>
          <w:color w:val="1A1A2E"/>
          <w:sz w:val="20"/>
        </w:rPr>
        <w:t>Chaque rôle dispose d’un tableau de bord personnalisé avec ses KPIs métier spécifiques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268"/>
        <w:gridCol w:w="3685"/>
      </w:tblGrid>
      <w:tr w14:paraId="76FD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A2E4A"/>
            <w:vAlign w:val="center"/>
          </w:tcPr>
          <w:p w14:paraId="2DF269CE">
            <w:pPr>
              <w:spacing w:before="60" w:after="60" w:line="240" w:lineRule="auto"/>
              <w:jc w:val="center"/>
            </w:pPr>
            <w:r>
              <w:rPr>
                <w:b/>
                <w:color w:val="FFFFFF"/>
                <w:sz w:val="18"/>
              </w:rPr>
              <w:t>Rôle</w:t>
            </w:r>
          </w:p>
        </w:tc>
        <w:tc>
          <w:tcPr>
            <w:tcW w:w="2268" w:type="dxa"/>
            <w:shd w:val="clear" w:color="auto" w:fill="1A2E4A"/>
            <w:vAlign w:val="center"/>
          </w:tcPr>
          <w:p w14:paraId="25AF72A5">
            <w:pPr>
              <w:spacing w:before="60" w:after="60" w:line="240" w:lineRule="auto"/>
              <w:jc w:val="center"/>
            </w:pPr>
            <w:r>
              <w:rPr>
                <w:b/>
                <w:color w:val="FFFFFF"/>
                <w:sz w:val="18"/>
              </w:rPr>
              <w:t>Tableau de bord</w:t>
            </w:r>
          </w:p>
        </w:tc>
        <w:tc>
          <w:tcPr>
            <w:tcW w:w="3685" w:type="dxa"/>
            <w:shd w:val="clear" w:color="auto" w:fill="1A2E4A"/>
            <w:vAlign w:val="center"/>
          </w:tcPr>
          <w:p w14:paraId="38C9528A">
            <w:pPr>
              <w:spacing w:before="60" w:after="60" w:line="240" w:lineRule="auto"/>
              <w:jc w:val="center"/>
            </w:pPr>
            <w:r>
              <w:rPr>
                <w:b/>
                <w:color w:val="FFFFFF"/>
                <w:sz w:val="18"/>
              </w:rPr>
              <w:t>Fonctionnalités clés</w:t>
            </w:r>
          </w:p>
        </w:tc>
      </w:tr>
      <w:tr w14:paraId="6B45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7D1D1A9">
            <w:pPr>
              <w:spacing w:before="40" w:after="40" w:line="240" w:lineRule="auto"/>
            </w:pPr>
            <w:r>
              <w:rPr>
                <w:color w:val="1A1A2E"/>
                <w:sz w:val="18"/>
              </w:rPr>
              <w:t>Directeur Général</w:t>
            </w:r>
          </w:p>
        </w:tc>
        <w:tc>
          <w:tcPr>
            <w:tcW w:w="226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5DD8346">
            <w:pPr>
              <w:spacing w:before="40" w:after="40" w:line="240" w:lineRule="auto"/>
            </w:pPr>
            <w:r>
              <w:rPr>
                <w:color w:val="1A1A2E"/>
                <w:sz w:val="18"/>
              </w:rPr>
              <w:t xml:space="preserve">Vue 360° </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378A34E">
            <w:pPr>
              <w:spacing w:before="40" w:after="40" w:line="240" w:lineRule="auto"/>
            </w:pPr>
            <w:r>
              <w:rPr>
                <w:color w:val="1A1A2E"/>
                <w:sz w:val="18"/>
              </w:rPr>
              <w:t>Drill-down agences, PAR 30/60/90j, rapport IA global</w:t>
            </w:r>
          </w:p>
        </w:tc>
      </w:tr>
      <w:tr w14:paraId="6B31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ADFC8B5">
            <w:pPr>
              <w:spacing w:before="40" w:after="40" w:line="240" w:lineRule="auto"/>
            </w:pPr>
            <w:r>
              <w:rPr>
                <w:color w:val="1A1A2E"/>
                <w:sz w:val="18"/>
              </w:rPr>
              <w:t>Directeur Commercial</w:t>
            </w:r>
          </w:p>
        </w:tc>
        <w:tc>
          <w:tcPr>
            <w:tcW w:w="226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A34EC10">
            <w:pPr>
              <w:spacing w:before="40" w:after="40" w:line="240" w:lineRule="auto"/>
            </w:pPr>
            <w:r>
              <w:rPr>
                <w:color w:val="1A1A2E"/>
                <w:sz w:val="18"/>
              </w:rPr>
              <w:t>Pipeline &amp; collecte</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91B0EE9">
            <w:pPr>
              <w:spacing w:before="40" w:after="40" w:line="240" w:lineRule="auto"/>
            </w:pPr>
            <w:r>
              <w:rPr>
                <w:color w:val="1A1A2E"/>
                <w:sz w:val="18"/>
              </w:rPr>
              <w:t>Secteurs, collecte agents, synthèse IA</w:t>
            </w:r>
          </w:p>
        </w:tc>
      </w:tr>
      <w:tr w14:paraId="7D4F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EF8B126">
            <w:pPr>
              <w:spacing w:before="40" w:after="40" w:line="240" w:lineRule="auto"/>
            </w:pPr>
            <w:r>
              <w:rPr>
                <w:color w:val="1A1A2E"/>
                <w:sz w:val="18"/>
              </w:rPr>
              <w:t>Directeur Exploitation Crédit</w:t>
            </w:r>
          </w:p>
        </w:tc>
        <w:tc>
          <w:tcPr>
            <w:tcW w:w="226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16D718C">
            <w:pPr>
              <w:spacing w:before="40" w:after="40" w:line="240" w:lineRule="auto"/>
            </w:pPr>
            <w:r>
              <w:rPr>
                <w:color w:val="1A1A2E"/>
                <w:sz w:val="18"/>
              </w:rPr>
              <w:t>Crédit &amp; réseau</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0749371">
            <w:pPr>
              <w:spacing w:before="40" w:after="40" w:line="240" w:lineRule="auto"/>
            </w:pPr>
            <w:r>
              <w:rPr>
                <w:color w:val="1A1A2E"/>
                <w:sz w:val="18"/>
              </w:rPr>
              <w:t>Cycle crédit, réseau agences, équipes CC</w:t>
            </w:r>
          </w:p>
        </w:tc>
      </w:tr>
      <w:tr w14:paraId="74C6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CC99140">
            <w:pPr>
              <w:spacing w:before="40" w:after="40" w:line="240" w:lineRule="auto"/>
            </w:pPr>
            <w:r>
              <w:rPr>
                <w:color w:val="1A1A2E"/>
                <w:sz w:val="18"/>
              </w:rPr>
              <w:t>Responsable Opérations Crédit (ROC)</w:t>
            </w:r>
          </w:p>
        </w:tc>
        <w:tc>
          <w:tcPr>
            <w:tcW w:w="226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32FAF07">
            <w:pPr>
              <w:spacing w:before="40" w:after="40" w:line="240" w:lineRule="auto"/>
            </w:pPr>
            <w:r>
              <w:rPr>
                <w:color w:val="1A1A2E"/>
                <w:sz w:val="18"/>
              </w:rPr>
              <w:t>Recouvrement &amp; réseau</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A511D18">
            <w:pPr>
              <w:spacing w:before="40" w:after="40" w:line="240" w:lineRule="auto"/>
            </w:pPr>
            <w:r>
              <w:rPr>
                <w:color w:val="1A1A2E"/>
                <w:sz w:val="18"/>
              </w:rPr>
              <w:t>Score recouvrement IA, équipes, dossiers bloqués</w:t>
            </w:r>
          </w:p>
        </w:tc>
      </w:tr>
      <w:tr w14:paraId="1D6D6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6095953">
            <w:pPr>
              <w:spacing w:before="40" w:after="40" w:line="240" w:lineRule="auto"/>
            </w:pPr>
            <w:r>
              <w:rPr>
                <w:color w:val="1A1A2E"/>
                <w:sz w:val="18"/>
              </w:rPr>
              <w:t>Responsable d’Agence</w:t>
            </w:r>
          </w:p>
        </w:tc>
        <w:tc>
          <w:tcPr>
            <w:tcW w:w="226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7E3D4D1">
            <w:pPr>
              <w:spacing w:before="40" w:after="40" w:line="240" w:lineRule="auto"/>
            </w:pPr>
            <w:r>
              <w:rPr>
                <w:color w:val="1A1A2E"/>
                <w:sz w:val="18"/>
              </w:rPr>
              <w:t>Agence + terrain</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39DD593">
            <w:pPr>
              <w:spacing w:before="40" w:after="40" w:line="240" w:lineRule="auto"/>
            </w:pPr>
            <w:r>
              <w:rPr>
                <w:color w:val="1A1A2E"/>
                <w:sz w:val="18"/>
              </w:rPr>
              <w:t>Crédit, zones terrain, équipe, calendrier recouvrement</w:t>
            </w:r>
          </w:p>
        </w:tc>
      </w:tr>
      <w:tr w14:paraId="65AB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5CA1533">
            <w:pPr>
              <w:spacing w:before="40" w:after="40" w:line="240" w:lineRule="auto"/>
            </w:pPr>
            <w:r>
              <w:rPr>
                <w:color w:val="1A1A2E"/>
                <w:sz w:val="18"/>
              </w:rPr>
              <w:t>Gestionnaire de Portefeuille</w:t>
            </w:r>
          </w:p>
        </w:tc>
        <w:tc>
          <w:tcPr>
            <w:tcW w:w="226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12DE045E">
            <w:pPr>
              <w:spacing w:before="40" w:after="40" w:line="240" w:lineRule="auto"/>
            </w:pPr>
            <w:r>
              <w:rPr>
                <w:color w:val="1A1A2E"/>
                <w:sz w:val="18"/>
              </w:rPr>
              <w:t>Portefeuille clients</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D0F054D">
            <w:pPr>
              <w:spacing w:before="40" w:after="40" w:line="240" w:lineRule="auto"/>
            </w:pPr>
            <w:r>
              <w:rPr>
                <w:color w:val="1A1A2E"/>
                <w:sz w:val="18"/>
              </w:rPr>
              <w:t>Carte clients, recouvrement, terrain</w:t>
            </w:r>
          </w:p>
        </w:tc>
      </w:tr>
      <w:tr w14:paraId="260C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69A02FB">
            <w:pPr>
              <w:spacing w:before="40" w:after="40" w:line="240" w:lineRule="auto"/>
            </w:pPr>
            <w:r>
              <w:rPr>
                <w:color w:val="1A1A2E"/>
                <w:sz w:val="18"/>
              </w:rPr>
              <w:t>Chargé de Crédit</w:t>
            </w:r>
          </w:p>
        </w:tc>
        <w:tc>
          <w:tcPr>
            <w:tcW w:w="226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CF6F763">
            <w:pPr>
              <w:spacing w:before="40" w:after="40" w:line="240" w:lineRule="auto"/>
            </w:pPr>
            <w:r>
              <w:rPr>
                <w:color w:val="1A1A2E"/>
                <w:sz w:val="18"/>
              </w:rPr>
              <w:t>Dossiers + calendrier</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4AC072C">
            <w:pPr>
              <w:spacing w:before="40" w:after="40" w:line="240" w:lineRule="auto"/>
            </w:pPr>
            <w:r>
              <w:rPr>
                <w:color w:val="1A1A2E"/>
                <w:sz w:val="18"/>
              </w:rPr>
              <w:t>Pipeline, instruction, comité crédit</w:t>
            </w:r>
          </w:p>
        </w:tc>
      </w:tr>
      <w:tr w14:paraId="5FB8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B6ED773">
            <w:pPr>
              <w:spacing w:before="40" w:after="40" w:line="240" w:lineRule="auto"/>
            </w:pPr>
            <w:r>
              <w:rPr>
                <w:color w:val="1A1A2E"/>
                <w:sz w:val="18"/>
              </w:rPr>
              <w:t>Agent Terrain</w:t>
            </w:r>
          </w:p>
        </w:tc>
        <w:tc>
          <w:tcPr>
            <w:tcW w:w="226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754FFF1">
            <w:pPr>
              <w:spacing w:before="40" w:after="40" w:line="240" w:lineRule="auto"/>
            </w:pPr>
            <w:r>
              <w:rPr>
                <w:color w:val="1A1A2E"/>
                <w:sz w:val="18"/>
              </w:rPr>
              <w:t>Missions + collecte</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6B74843">
            <w:pPr>
              <w:spacing w:before="40" w:after="40" w:line="240" w:lineRule="auto"/>
            </w:pPr>
            <w:r>
              <w:rPr>
                <w:color w:val="1A1A2E"/>
                <w:sz w:val="18"/>
              </w:rPr>
              <w:t>Carte GPS, visites, collecte Mobile Money</w:t>
            </w:r>
          </w:p>
        </w:tc>
      </w:tr>
      <w:tr w14:paraId="1B27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198771E">
            <w:pPr>
              <w:spacing w:before="40" w:after="40" w:line="240" w:lineRule="auto"/>
            </w:pPr>
            <w:r>
              <w:rPr>
                <w:color w:val="1A1A2E"/>
                <w:sz w:val="18"/>
              </w:rPr>
              <w:t>DAF</w:t>
            </w:r>
          </w:p>
        </w:tc>
        <w:tc>
          <w:tcPr>
            <w:tcW w:w="226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0BFDBE7">
            <w:pPr>
              <w:spacing w:before="40" w:after="40" w:line="240" w:lineRule="auto"/>
            </w:pPr>
            <w:r>
              <w:rPr>
                <w:color w:val="1A1A2E"/>
                <w:sz w:val="18"/>
              </w:rPr>
              <w:t>Finance &amp; audit</w:t>
            </w:r>
          </w:p>
        </w:tc>
        <w:tc>
          <w:tcPr>
            <w:tcW w:w="368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670BAD8C">
            <w:pPr>
              <w:spacing w:before="40" w:after="40" w:line="240" w:lineRule="auto"/>
            </w:pPr>
            <w:r>
              <w:rPr>
                <w:color w:val="1A1A2E"/>
                <w:sz w:val="18"/>
              </w:rPr>
              <w:t>Comptabilité SYSCOHADA, trésorerie, audit</w:t>
            </w:r>
          </w:p>
        </w:tc>
      </w:tr>
      <w:tr w14:paraId="1820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A5DB694">
            <w:pPr>
              <w:spacing w:before="40" w:after="40" w:line="240" w:lineRule="auto"/>
            </w:pPr>
            <w:r>
              <w:rPr>
                <w:color w:val="1A1A2E"/>
                <w:sz w:val="18"/>
              </w:rPr>
              <w:t>Auditeur</w:t>
            </w:r>
          </w:p>
        </w:tc>
        <w:tc>
          <w:tcPr>
            <w:tcW w:w="226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52CCA79">
            <w:pPr>
              <w:spacing w:before="40" w:after="40" w:line="240" w:lineRule="auto"/>
            </w:pPr>
            <w:r>
              <w:rPr>
                <w:color w:val="1A1A2E"/>
                <w:sz w:val="18"/>
              </w:rPr>
              <w:t>Audit complet</w:t>
            </w:r>
          </w:p>
        </w:tc>
        <w:tc>
          <w:tcPr>
            <w:tcW w:w="368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5346D46">
            <w:pPr>
              <w:spacing w:before="40" w:after="40" w:line="240" w:lineRule="auto"/>
            </w:pPr>
            <w:r>
              <w:rPr>
                <w:color w:val="1A1A2E"/>
                <w:sz w:val="18"/>
              </w:rPr>
              <w:t>Agences, caisse, crédit, BCEAO, traçabilité</w:t>
            </w:r>
          </w:p>
        </w:tc>
      </w:tr>
    </w:tbl>
    <w:p w14:paraId="54F56537"/>
    <w:p w14:paraId="18D28959">
      <w:pPr>
        <w:spacing w:before="120" w:after="40"/>
      </w:pPr>
      <w:r>
        <w:rPr>
          <w:b/>
          <w:color w:val="1E3A5F"/>
          <w:sz w:val="21"/>
        </w:rPr>
        <w:t>Vue 360° drill-down — Direction Générale</w:t>
      </w:r>
    </w:p>
    <w:p w14:paraId="12B94428">
      <w:pPr>
        <w:spacing w:before="0" w:after="80"/>
        <w:jc w:val="both"/>
      </w:pPr>
      <w:r>
        <w:rPr>
          <w:color w:val="1A1A2E"/>
          <w:sz w:val="20"/>
        </w:rPr>
        <w:t>La vue DG permet un drill-down complet depuis le niveau réseau jusqu’à la transaction individuelle :</w:t>
      </w:r>
    </w:p>
    <w:p w14:paraId="46580B37">
      <w:pPr>
        <w:spacing w:before="40" w:after="40"/>
        <w:ind w:left="360" w:hanging="360"/>
      </w:pPr>
      <w:r>
        <w:rPr>
          <w:color w:val="D4AF37"/>
          <w:sz w:val="20"/>
        </w:rPr>
        <w:t xml:space="preserve">•  </w:t>
      </w:r>
      <w:r>
        <w:rPr>
          <w:color w:val="1A1A2E"/>
          <w:sz w:val="20"/>
        </w:rPr>
        <w:t>Réseau → Agences → Zones → Agents → Clients → Transactions</w:t>
      </w:r>
    </w:p>
    <w:p w14:paraId="348E2773">
      <w:pPr>
        <w:spacing w:before="40" w:after="40"/>
        <w:ind w:left="360" w:hanging="360"/>
      </w:pPr>
      <w:r>
        <w:rPr>
          <w:color w:val="D4AF37"/>
          <w:sz w:val="20"/>
        </w:rPr>
        <w:t xml:space="preserve">•  </w:t>
      </w:r>
      <w:r>
        <w:rPr>
          <w:color w:val="1A1A2E"/>
          <w:sz w:val="20"/>
        </w:rPr>
        <w:t>Onglets dédiés : Commercial, Crédit, Terrain, Opérationnel, Financier</w:t>
      </w:r>
    </w:p>
    <w:p w14:paraId="44E7DF7A">
      <w:pPr>
        <w:spacing w:before="40" w:after="40"/>
        <w:ind w:left="360" w:hanging="360"/>
      </w:pPr>
      <w:r>
        <w:rPr>
          <w:color w:val="D4AF37"/>
          <w:sz w:val="20"/>
        </w:rPr>
        <w:t xml:space="preserve">•  </w:t>
      </w:r>
      <w:r>
        <w:rPr>
          <w:color w:val="1A1A2E"/>
          <w:sz w:val="20"/>
        </w:rPr>
        <w:t>Carte de couverture géographique avec analyse IA</w:t>
      </w:r>
    </w:p>
    <w:p w14:paraId="4A8D78B3">
      <w:pPr>
        <w:spacing w:before="40" w:after="40"/>
        <w:ind w:left="360" w:hanging="360"/>
      </w:pPr>
      <w:r>
        <w:rPr>
          <w:color w:val="D4AF37"/>
          <w:sz w:val="20"/>
        </w:rPr>
        <w:t xml:space="preserve">•  </w:t>
      </w:r>
      <w:r>
        <w:rPr>
          <w:color w:val="1A1A2E"/>
          <w:sz w:val="20"/>
        </w:rPr>
        <w:t>Analyse comportementale des agences</w:t>
      </w:r>
    </w:p>
    <w:p w14:paraId="2BE72830">
      <w:pPr>
        <w:spacing w:before="40" w:after="40"/>
        <w:ind w:left="360" w:hanging="360"/>
      </w:pPr>
      <w:r>
        <w:rPr>
          <w:color w:val="D4AF37"/>
          <w:sz w:val="20"/>
        </w:rPr>
        <w:t xml:space="preserve">•  </w:t>
      </w:r>
      <w:r>
        <w:rPr>
          <w:color w:val="1A1A2E"/>
          <w:sz w:val="20"/>
        </w:rPr>
        <w:t>Rapport IA consolidé sur l’ensemble du réseau</w:t>
      </w:r>
    </w:p>
    <w:p w14:paraId="7829F48B">
      <w:r>
        <w:br w:type="page"/>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08AF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1E3A5F"/>
          </w:tcPr>
          <w:p w14:paraId="5C1BEFF5">
            <w:pPr>
              <w:spacing w:before="80" w:after="80" w:line="240" w:lineRule="auto"/>
              <w:jc w:val="center"/>
            </w:pPr>
            <w:r>
              <w:rPr>
                <w:b/>
                <w:caps/>
                <w:color w:val="FFFFFF"/>
                <w:sz w:val="20"/>
              </w:rPr>
              <w:t>INTELLIGENCE ARTIFICIELLE &amp; RECOUVREMENT</w:t>
            </w:r>
          </w:p>
        </w:tc>
      </w:tr>
    </w:tbl>
    <w:p w14:paraId="23F8803B"/>
    <w:p w14:paraId="723F986F">
      <w:pPr>
        <w:spacing w:before="160" w:after="60"/>
      </w:pPr>
      <w:r>
        <w:rPr>
          <w:b/>
          <w:color w:val="1A2E4A"/>
          <w:sz w:val="24"/>
        </w:rPr>
        <w:t>3.3 Scoring de risque et prévention des défauts</w:t>
      </w:r>
    </w:p>
    <w:p w14:paraId="33ABD360">
      <w:pPr>
        <w:spacing w:before="0" w:after="80"/>
        <w:jc w:val="both"/>
      </w:pPr>
      <w:r>
        <w:rPr>
          <w:color w:val="1A1A2E"/>
          <w:sz w:val="20"/>
        </w:rPr>
        <w:t>L’IA de Prospera analyse en continu le comportement de chaque emprunteur pour prédire les risques de défaut avant qu’ils ne surviennent :</w:t>
      </w:r>
    </w:p>
    <w:p w14:paraId="2BFEB3E6">
      <w:pPr>
        <w:spacing w:before="40" w:after="40"/>
        <w:ind w:left="360" w:hanging="360"/>
      </w:pPr>
      <w:r>
        <w:rPr>
          <w:color w:val="D4AF37"/>
          <w:sz w:val="20"/>
        </w:rPr>
        <w:t xml:space="preserve">🧠  </w:t>
      </w:r>
      <w:r>
        <w:rPr>
          <w:color w:val="1A1A2E"/>
          <w:sz w:val="20"/>
        </w:rPr>
        <w:t>Score de risque dynamique (0–100) mis à jour à chaque interaction, paiement ou retard</w:t>
      </w:r>
    </w:p>
    <w:p w14:paraId="6545527B">
      <w:pPr>
        <w:spacing w:before="40" w:after="40"/>
        <w:ind w:left="360" w:hanging="360"/>
      </w:pPr>
      <w:r>
        <w:rPr>
          <w:color w:val="D4AF37"/>
          <w:sz w:val="20"/>
        </w:rPr>
        <w:t xml:space="preserve">🧠  </w:t>
      </w:r>
      <w:r>
        <w:rPr>
          <w:color w:val="1A1A2E"/>
          <w:sz w:val="20"/>
        </w:rPr>
        <w:t>Analyse des patterns de remboursement : régularité, montants, canaux de paiement utilisés</w:t>
      </w:r>
    </w:p>
    <w:p w14:paraId="729024D5">
      <w:pPr>
        <w:spacing w:before="40" w:after="40"/>
        <w:ind w:left="360" w:hanging="360"/>
      </w:pPr>
      <w:r>
        <w:rPr>
          <w:color w:val="D4AF37"/>
          <w:sz w:val="20"/>
        </w:rPr>
        <w:t xml:space="preserve">🧠  </w:t>
      </w:r>
      <w:r>
        <w:rPr>
          <w:color w:val="1A1A2E"/>
          <w:sz w:val="20"/>
        </w:rPr>
        <w:t>Détection précoce des signaux faibles : retards inhabituels, baisse d’activité, changement de comportement</w:t>
      </w:r>
    </w:p>
    <w:p w14:paraId="51495EC7">
      <w:pPr>
        <w:spacing w:before="40" w:after="40"/>
        <w:ind w:left="360" w:hanging="360"/>
      </w:pPr>
      <w:r>
        <w:rPr>
          <w:color w:val="D4AF37"/>
          <w:sz w:val="20"/>
        </w:rPr>
        <w:t xml:space="preserve">🧠  </w:t>
      </w:r>
      <w:r>
        <w:rPr>
          <w:color w:val="1A1A2E"/>
          <w:sz w:val="20"/>
        </w:rPr>
        <w:t>Alertes proactives aux agents et managers 7 à 14 jours avant un défaut probable</w:t>
      </w:r>
    </w:p>
    <w:p w14:paraId="21F46EC2">
      <w:pPr>
        <w:spacing w:before="40" w:after="40"/>
        <w:ind w:left="360" w:hanging="360"/>
      </w:pPr>
      <w:r>
        <w:rPr>
          <w:color w:val="D4AF37"/>
          <w:sz w:val="20"/>
        </w:rPr>
        <w:t xml:space="preserve">🧠  </w:t>
      </w:r>
      <w:r>
        <w:rPr>
          <w:color w:val="1A1A2E"/>
          <w:sz w:val="20"/>
        </w:rPr>
        <w:t>Fiches mauvais payeurs avec statuts et plan d’action</w:t>
      </w:r>
    </w:p>
    <w:p w14:paraId="7FF434CF">
      <w:pPr>
        <w:spacing w:before="40" w:after="40"/>
        <w:ind w:left="360" w:hanging="360"/>
      </w:pPr>
      <w:r>
        <w:rPr>
          <w:color w:val="D4AF37"/>
          <w:sz w:val="20"/>
        </w:rPr>
        <w:t xml:space="preserve">🧠  </w:t>
      </w:r>
      <w:r>
        <w:rPr>
          <w:color w:val="1A1A2E"/>
          <w:sz w:val="20"/>
        </w:rPr>
        <w:t>Module recouvrement dédié avec gestion des dossiers bloqués</w:t>
      </w:r>
    </w:p>
    <w:p w14:paraId="7820D0E7">
      <w:pPr>
        <w:spacing w:before="160" w:after="60"/>
      </w:pPr>
      <w:r>
        <w:rPr>
          <w:b/>
          <w:color w:val="1A2E4A"/>
          <w:sz w:val="24"/>
        </w:rPr>
        <w:t>3.4 Relances intelligentes multi-canal</w:t>
      </w:r>
    </w:p>
    <w:p w14:paraId="4F4CCC8C">
      <w:pPr>
        <w:spacing w:before="0" w:after="80"/>
        <w:jc w:val="both"/>
      </w:pPr>
      <w:r>
        <w:rPr>
          <w:color w:val="1A1A2E"/>
          <w:sz w:val="20"/>
        </w:rPr>
        <w:t>Contrairement aux relances statiques, Prospera adapte dynamiquement la stratégie de recouvrement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669"/>
      </w:tblGrid>
      <w:tr w14:paraId="4F85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1A2E4A"/>
            <w:vAlign w:val="center"/>
          </w:tcPr>
          <w:p w14:paraId="197F7982">
            <w:pPr>
              <w:spacing w:before="60" w:after="60" w:line="240" w:lineRule="auto"/>
              <w:jc w:val="center"/>
            </w:pPr>
            <w:r>
              <w:rPr>
                <w:b/>
                <w:color w:val="FFFFFF"/>
                <w:sz w:val="18"/>
              </w:rPr>
              <w:t>Situation détectée</w:t>
            </w:r>
          </w:p>
        </w:tc>
        <w:tc>
          <w:tcPr>
            <w:tcW w:w="5669" w:type="dxa"/>
            <w:shd w:val="clear" w:color="auto" w:fill="1A2E4A"/>
            <w:vAlign w:val="center"/>
          </w:tcPr>
          <w:p w14:paraId="30C31B8D">
            <w:pPr>
              <w:spacing w:before="60" w:after="60" w:line="240" w:lineRule="auto"/>
              <w:jc w:val="center"/>
            </w:pPr>
            <w:r>
              <w:rPr>
                <w:b/>
                <w:color w:val="FFFFFF"/>
                <w:sz w:val="18"/>
              </w:rPr>
              <w:t>Action automatique</w:t>
            </w:r>
          </w:p>
        </w:tc>
      </w:tr>
      <w:tr w14:paraId="5880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4DBB5C3">
            <w:pPr>
              <w:spacing w:before="40" w:after="40" w:line="240" w:lineRule="auto"/>
            </w:pPr>
            <w:r>
              <w:rPr>
                <w:color w:val="1A1A2E"/>
                <w:sz w:val="18"/>
              </w:rPr>
              <w:t>Échéance dans 3 jours</w:t>
            </w:r>
          </w:p>
        </w:tc>
        <w:tc>
          <w:tcPr>
            <w:tcW w:w="5669"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AD3FEF3">
            <w:pPr>
              <w:spacing w:before="40" w:after="40" w:line="240" w:lineRule="auto"/>
            </w:pPr>
            <w:r>
              <w:rPr>
                <w:color w:val="1A1A2E"/>
                <w:sz w:val="18"/>
              </w:rPr>
              <w:t>Rappel WhatsApp avec montant et lien de paiement Mobile Money</w:t>
            </w:r>
          </w:p>
        </w:tc>
      </w:tr>
      <w:tr w14:paraId="34AD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9FB03D4">
            <w:pPr>
              <w:spacing w:before="40" w:after="40" w:line="240" w:lineRule="auto"/>
            </w:pPr>
            <w:r>
              <w:rPr>
                <w:color w:val="1A1A2E"/>
                <w:sz w:val="18"/>
              </w:rPr>
              <w:t>Retard 1–3 jours</w:t>
            </w:r>
          </w:p>
        </w:tc>
        <w:tc>
          <w:tcPr>
            <w:tcW w:w="5669"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FEDFB23">
            <w:pPr>
              <w:spacing w:before="40" w:after="40" w:line="240" w:lineRule="auto"/>
            </w:pPr>
            <w:r>
              <w:rPr>
                <w:color w:val="1A1A2E"/>
                <w:sz w:val="18"/>
              </w:rPr>
              <w:t>Relance WhatsApp + SMS avec ton plus ferme</w:t>
            </w:r>
          </w:p>
        </w:tc>
      </w:tr>
      <w:tr w14:paraId="19C0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E4829E5">
            <w:pPr>
              <w:spacing w:before="40" w:after="40" w:line="240" w:lineRule="auto"/>
            </w:pPr>
            <w:r>
              <w:rPr>
                <w:color w:val="1A1A2E"/>
                <w:sz w:val="18"/>
              </w:rPr>
              <w:t>Retard 7+ jours</w:t>
            </w:r>
          </w:p>
        </w:tc>
        <w:tc>
          <w:tcPr>
            <w:tcW w:w="5669"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F6D1FBF">
            <w:pPr>
              <w:spacing w:before="40" w:after="40" w:line="240" w:lineRule="auto"/>
            </w:pPr>
            <w:r>
              <w:rPr>
                <w:color w:val="1A1A2E"/>
                <w:sz w:val="18"/>
              </w:rPr>
              <w:t>Alerte prioritaire à l’agent + visite terrain planifiée automatiquement</w:t>
            </w:r>
          </w:p>
        </w:tc>
      </w:tr>
      <w:tr w14:paraId="3F143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AB900AE">
            <w:pPr>
              <w:spacing w:before="40" w:after="40" w:line="240" w:lineRule="auto"/>
            </w:pPr>
            <w:r>
              <w:rPr>
                <w:color w:val="1A1A2E"/>
                <w:sz w:val="18"/>
              </w:rPr>
              <w:t>Risque élevé + retard</w:t>
            </w:r>
          </w:p>
        </w:tc>
        <w:tc>
          <w:tcPr>
            <w:tcW w:w="5669"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2219F5A">
            <w:pPr>
              <w:spacing w:before="40" w:after="40" w:line="240" w:lineRule="auto"/>
            </w:pPr>
            <w:r>
              <w:rPr>
                <w:color w:val="1A1A2E"/>
                <w:sz w:val="18"/>
              </w:rPr>
              <w:t>Escalade au superviseur + plan d’action restructuration proposé par l’IA</w:t>
            </w:r>
          </w:p>
        </w:tc>
      </w:tr>
      <w:tr w14:paraId="1747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0CDF739">
            <w:pPr>
              <w:spacing w:before="40" w:after="40" w:line="240" w:lineRule="auto"/>
            </w:pPr>
            <w:r>
              <w:rPr>
                <w:color w:val="1A1A2E"/>
                <w:sz w:val="18"/>
              </w:rPr>
              <w:t>Bon payeur régulier</w:t>
            </w:r>
          </w:p>
        </w:tc>
        <w:tc>
          <w:tcPr>
            <w:tcW w:w="5669"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5B996AF">
            <w:pPr>
              <w:spacing w:before="40" w:after="40" w:line="240" w:lineRule="auto"/>
            </w:pPr>
            <w:r>
              <w:rPr>
                <w:color w:val="1A1A2E"/>
                <w:sz w:val="18"/>
              </w:rPr>
              <w:t>Rappel discret + offre de renouvellement anticipée</w:t>
            </w:r>
          </w:p>
        </w:tc>
      </w:tr>
      <w:tr w14:paraId="296B1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334F7F3">
            <w:pPr>
              <w:spacing w:before="40" w:after="40" w:line="240" w:lineRule="auto"/>
            </w:pPr>
            <w:r>
              <w:rPr>
                <w:color w:val="1A1A2E"/>
                <w:sz w:val="18"/>
              </w:rPr>
              <w:t>Promesse de paiement non honorée</w:t>
            </w:r>
          </w:p>
        </w:tc>
        <w:tc>
          <w:tcPr>
            <w:tcW w:w="5669"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A8CF0C4">
            <w:pPr>
              <w:spacing w:before="40" w:after="40" w:line="240" w:lineRule="auto"/>
            </w:pPr>
            <w:r>
              <w:rPr>
                <w:color w:val="1A1A2E"/>
                <w:sz w:val="18"/>
              </w:rPr>
              <w:t>Re-relance automatique + escalade superviseur</w:t>
            </w:r>
          </w:p>
        </w:tc>
      </w:tr>
    </w:tbl>
    <w:p w14:paraId="2A251D38"/>
    <w:p w14:paraId="37151B81">
      <w:r>
        <w:br w:type="page"/>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37D9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1E3A5F"/>
          </w:tcPr>
          <w:p w14:paraId="1C91187A">
            <w:pPr>
              <w:spacing w:before="80" w:after="80" w:line="240" w:lineRule="auto"/>
              <w:jc w:val="center"/>
            </w:pPr>
            <w:r>
              <w:rPr>
                <w:b/>
                <w:caps/>
                <w:color w:val="FFFFFF"/>
                <w:sz w:val="20"/>
              </w:rPr>
              <w:t>OPÉRATIONS, CAISSE &amp; MOBILE MONEY</w:t>
            </w:r>
          </w:p>
        </w:tc>
      </w:tr>
    </w:tbl>
    <w:p w14:paraId="585159D4"/>
    <w:p w14:paraId="143DF868">
      <w:pPr>
        <w:spacing w:before="160" w:after="60"/>
      </w:pPr>
      <w:r>
        <w:rPr>
          <w:b/>
          <w:color w:val="1A2E4A"/>
          <w:sz w:val="24"/>
        </w:rPr>
        <w:t>3.5 Mobile Money, Caisse et Facturation intégrés</w:t>
      </w:r>
    </w:p>
    <w:p w14:paraId="34F2BD1F">
      <w:pPr>
        <w:spacing w:before="120" w:after="40"/>
      </w:pPr>
      <w:r>
        <w:rPr>
          <w:b/>
          <w:color w:val="1E3A5F"/>
          <w:sz w:val="21"/>
        </w:rPr>
        <w:t>Module Caisse</w:t>
      </w:r>
    </w:p>
    <w:p w14:paraId="053B4BB7">
      <w:pPr>
        <w:spacing w:before="40" w:after="40"/>
        <w:ind w:left="360" w:hanging="360"/>
      </w:pPr>
      <w:r>
        <w:rPr>
          <w:color w:val="D4AF37"/>
          <w:sz w:val="20"/>
        </w:rPr>
        <w:t xml:space="preserve">💰  </w:t>
      </w:r>
      <w:r>
        <w:rPr>
          <w:color w:val="1A1A2E"/>
          <w:sz w:val="20"/>
        </w:rPr>
        <w:t>Guichet caissier : saisie et validation des opérations</w:t>
      </w:r>
    </w:p>
    <w:p w14:paraId="6F4CDA59">
      <w:pPr>
        <w:spacing w:before="40" w:after="40"/>
        <w:ind w:left="360" w:hanging="360"/>
      </w:pPr>
      <w:r>
        <w:rPr>
          <w:color w:val="D4AF37"/>
          <w:sz w:val="20"/>
        </w:rPr>
        <w:t xml:space="preserve">💰  </w:t>
      </w:r>
      <w:r>
        <w:rPr>
          <w:color w:val="1A1A2E"/>
          <w:sz w:val="20"/>
        </w:rPr>
        <w:t>Validation Mobile Money : confirmation et réconciliation automatique des transactions</w:t>
      </w:r>
    </w:p>
    <w:p w14:paraId="66E98F02">
      <w:pPr>
        <w:spacing w:before="40" w:after="40"/>
        <w:ind w:left="360" w:hanging="360"/>
      </w:pPr>
      <w:r>
        <w:rPr>
          <w:color w:val="D4AF37"/>
          <w:sz w:val="20"/>
        </w:rPr>
        <w:t xml:space="preserve">💰  </w:t>
      </w:r>
      <w:r>
        <w:rPr>
          <w:color w:val="1A1A2E"/>
          <w:sz w:val="20"/>
        </w:rPr>
        <w:t>Vue trésorerie consolidée multi-agences pour la Direction</w:t>
      </w:r>
    </w:p>
    <w:p w14:paraId="3361CA49">
      <w:pPr>
        <w:spacing w:before="40" w:after="40"/>
        <w:ind w:left="360" w:hanging="360"/>
      </w:pPr>
      <w:r>
        <w:rPr>
          <w:color w:val="D4AF37"/>
          <w:sz w:val="20"/>
        </w:rPr>
        <w:t xml:space="preserve">💰  </w:t>
      </w:r>
      <w:r>
        <w:rPr>
          <w:color w:val="1A1A2E"/>
          <w:sz w:val="20"/>
        </w:rPr>
        <w:t>Historique complet des opérations avec filtres et export</w:t>
      </w:r>
    </w:p>
    <w:p w14:paraId="3BDDD4AF">
      <w:pPr>
        <w:spacing w:before="120" w:after="40"/>
      </w:pPr>
      <w:r>
        <w:rPr>
          <w:b/>
          <w:color w:val="1E3A5F"/>
          <w:sz w:val="21"/>
        </w:rPr>
        <w:t>Core Banking</w:t>
      </w:r>
    </w:p>
    <w:p w14:paraId="44D98081">
      <w:pPr>
        <w:spacing w:before="40" w:after="40"/>
        <w:ind w:left="360" w:hanging="360"/>
      </w:pPr>
      <w:r>
        <w:rPr>
          <w:color w:val="D4AF37"/>
          <w:sz w:val="20"/>
        </w:rPr>
        <w:t xml:space="preserve">🏦  </w:t>
      </w:r>
      <w:r>
        <w:rPr>
          <w:color w:val="1A1A2E"/>
          <w:sz w:val="20"/>
        </w:rPr>
        <w:t>Opérations bancaires complètes avec réconciliation automatique</w:t>
      </w:r>
    </w:p>
    <w:p w14:paraId="07AE006F">
      <w:pPr>
        <w:spacing w:before="40" w:after="40"/>
        <w:ind w:left="360" w:hanging="360"/>
      </w:pPr>
      <w:r>
        <w:rPr>
          <w:color w:val="D4AF37"/>
          <w:sz w:val="20"/>
        </w:rPr>
        <w:t xml:space="preserve">🏦  </w:t>
      </w:r>
      <w:r>
        <w:rPr>
          <w:color w:val="1A1A2E"/>
          <w:sz w:val="20"/>
        </w:rPr>
        <w:t>Vue DG consolidée du réseau</w:t>
      </w:r>
    </w:p>
    <w:p w14:paraId="0AF3F126">
      <w:pPr>
        <w:spacing w:before="40" w:after="40"/>
        <w:ind w:left="360" w:hanging="360"/>
      </w:pPr>
      <w:r>
        <w:rPr>
          <w:color w:val="D4AF37"/>
          <w:sz w:val="20"/>
        </w:rPr>
        <w:t xml:space="preserve">🏦  </w:t>
      </w:r>
      <w:r>
        <w:rPr>
          <w:color w:val="1A1A2E"/>
          <w:sz w:val="20"/>
        </w:rPr>
        <w:t>Intégration avec le module épargne</w:t>
      </w:r>
    </w:p>
    <w:p w14:paraId="146521E4">
      <w:pPr>
        <w:spacing w:before="120" w:after="40"/>
      </w:pPr>
      <w:r>
        <w:rPr>
          <w:b/>
          <w:color w:val="1E3A5F"/>
          <w:sz w:val="21"/>
        </w:rPr>
        <w:t>Épargne</w:t>
      </w:r>
    </w:p>
    <w:p w14:paraId="1CBB9ACF">
      <w:pPr>
        <w:spacing w:before="40" w:after="40"/>
        <w:ind w:left="360" w:hanging="360"/>
      </w:pPr>
      <w:r>
        <w:rPr>
          <w:color w:val="D4AF37"/>
          <w:sz w:val="20"/>
        </w:rPr>
        <w:t xml:space="preserve">💳  </w:t>
      </w:r>
      <w:r>
        <w:rPr>
          <w:color w:val="1A1A2E"/>
          <w:sz w:val="20"/>
        </w:rPr>
        <w:t>Gestion des comptes épargne individuels</w:t>
      </w:r>
    </w:p>
    <w:p w14:paraId="1E8C5B10">
      <w:pPr>
        <w:spacing w:before="40" w:after="40"/>
        <w:ind w:left="360" w:hanging="360"/>
      </w:pPr>
      <w:r>
        <w:rPr>
          <w:color w:val="D4AF37"/>
          <w:sz w:val="20"/>
        </w:rPr>
        <w:t xml:space="preserve">💳  </w:t>
      </w:r>
      <w:r>
        <w:rPr>
          <w:color w:val="1A1A2E"/>
          <w:sz w:val="20"/>
        </w:rPr>
        <w:t>Catalogue des produits épargne</w:t>
      </w:r>
    </w:p>
    <w:p w14:paraId="6CCB3313">
      <w:pPr>
        <w:spacing w:before="40" w:after="40"/>
        <w:ind w:left="360" w:hanging="360"/>
      </w:pPr>
      <w:r>
        <w:rPr>
          <w:color w:val="D4AF37"/>
          <w:sz w:val="20"/>
        </w:rPr>
        <w:t xml:space="preserve">💳  </w:t>
      </w:r>
      <w:r>
        <w:rPr>
          <w:color w:val="1A1A2E"/>
          <w:sz w:val="20"/>
        </w:rPr>
        <w:t>Vue DG des dépôts et encours</w:t>
      </w:r>
    </w:p>
    <w:p w14:paraId="33C5C356">
      <w:pPr>
        <w:spacing w:before="40" w:after="40"/>
        <w:ind w:left="360" w:hanging="360"/>
      </w:pPr>
      <w:r>
        <w:rPr>
          <w:color w:val="D4AF37"/>
          <w:sz w:val="20"/>
        </w:rPr>
        <w:t xml:space="preserve">💳  </w:t>
      </w:r>
      <w:r>
        <w:rPr>
          <w:color w:val="1A1A2E"/>
          <w:sz w:val="20"/>
        </w:rPr>
        <w:t>Détail par compte client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2FED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1E3A5F"/>
          </w:tcPr>
          <w:p w14:paraId="1273422B">
            <w:pPr>
              <w:spacing w:before="80" w:after="80" w:line="240" w:lineRule="auto"/>
              <w:jc w:val="center"/>
            </w:pPr>
            <w:r>
              <w:rPr>
                <w:b/>
                <w:caps/>
                <w:color w:val="FFFFFF"/>
                <w:sz w:val="20"/>
              </w:rPr>
              <w:t>AGENTS DE CRÉDIT TERRAIN</w:t>
            </w:r>
          </w:p>
        </w:tc>
      </w:tr>
    </w:tbl>
    <w:p w14:paraId="4F52B82F"/>
    <w:p w14:paraId="1FDE73E0">
      <w:pPr>
        <w:spacing w:before="160" w:after="60"/>
      </w:pPr>
      <w:r>
        <w:rPr>
          <w:b/>
          <w:color w:val="1A2E4A"/>
          <w:sz w:val="24"/>
        </w:rPr>
        <w:t>3.6 Terrain &amp; Mode Offline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236"/>
      </w:tblGrid>
      <w:tr w14:paraId="20A1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A2E4A"/>
            <w:vAlign w:val="center"/>
          </w:tcPr>
          <w:p w14:paraId="03876AD2">
            <w:pPr>
              <w:spacing w:before="60" w:after="60" w:line="240" w:lineRule="auto"/>
              <w:jc w:val="center"/>
            </w:pPr>
            <w:r>
              <w:rPr>
                <w:b/>
                <w:color w:val="FFFFFF"/>
                <w:sz w:val="18"/>
              </w:rPr>
              <w:t>Fonctionnalité</w:t>
            </w:r>
          </w:p>
        </w:tc>
        <w:tc>
          <w:tcPr>
            <w:tcW w:w="6236" w:type="dxa"/>
            <w:shd w:val="clear" w:color="auto" w:fill="1A2E4A"/>
            <w:vAlign w:val="center"/>
          </w:tcPr>
          <w:p w14:paraId="1060A3FA">
            <w:pPr>
              <w:spacing w:before="60" w:after="60" w:line="240" w:lineRule="auto"/>
              <w:jc w:val="center"/>
            </w:pPr>
            <w:r>
              <w:rPr>
                <w:b/>
                <w:color w:val="FFFFFF"/>
                <w:sz w:val="18"/>
              </w:rPr>
              <w:t>Description</w:t>
            </w:r>
          </w:p>
        </w:tc>
      </w:tr>
      <w:tr w14:paraId="6851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8FC7037">
            <w:pPr>
              <w:spacing w:before="40" w:after="40" w:line="240" w:lineRule="auto"/>
            </w:pPr>
            <w:r>
              <w:rPr>
                <w:color w:val="1A1A2E"/>
                <w:sz w:val="18"/>
              </w:rPr>
              <w:t>Carte GPS</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65A0BFED">
            <w:pPr>
              <w:spacing w:before="40" w:after="40" w:line="240" w:lineRule="auto"/>
            </w:pPr>
            <w:r>
              <w:rPr>
                <w:color w:val="1A1A2E"/>
                <w:sz w:val="18"/>
              </w:rPr>
              <w:t>Visualisation temps réel des positions agents et clients</w:t>
            </w:r>
          </w:p>
        </w:tc>
      </w:tr>
      <w:tr w14:paraId="5C3B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0A74EB6">
            <w:pPr>
              <w:spacing w:before="40" w:after="40" w:line="240" w:lineRule="auto"/>
            </w:pPr>
            <w:r>
              <w:rPr>
                <w:color w:val="1A1A2E"/>
                <w:sz w:val="18"/>
              </w:rPr>
              <w:t>Gestion des visites</w:t>
            </w:r>
          </w:p>
        </w:tc>
        <w:tc>
          <w:tcPr>
            <w:tcW w:w="623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14B62A0">
            <w:pPr>
              <w:spacing w:before="40" w:after="40" w:line="240" w:lineRule="auto"/>
            </w:pPr>
            <w:r>
              <w:rPr>
                <w:color w:val="1A1A2E"/>
                <w:sz w:val="18"/>
              </w:rPr>
              <w:t>Formulaire de visite guidé avec géolocalisation et horodatage</w:t>
            </w:r>
          </w:p>
        </w:tc>
      </w:tr>
      <w:tr w14:paraId="34B8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C74F3C8">
            <w:pPr>
              <w:spacing w:before="40" w:after="40" w:line="240" w:lineRule="auto"/>
            </w:pPr>
            <w:r>
              <w:rPr>
                <w:color w:val="1A1A2E"/>
                <w:sz w:val="18"/>
              </w:rPr>
              <w:t>Alerte de proximité</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ECA476A">
            <w:pPr>
              <w:spacing w:before="40" w:after="40" w:line="240" w:lineRule="auto"/>
            </w:pPr>
            <w:r>
              <w:rPr>
                <w:color w:val="1A1A2E"/>
                <w:sz w:val="18"/>
              </w:rPr>
              <w:t>Notification automatique si un client est à proximité de l’agent</w:t>
            </w:r>
          </w:p>
        </w:tc>
      </w:tr>
      <w:tr w14:paraId="02DD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1B57F22">
            <w:pPr>
              <w:spacing w:before="40" w:after="40" w:line="240" w:lineRule="auto"/>
            </w:pPr>
            <w:r>
              <w:rPr>
                <w:color w:val="1A1A2E"/>
                <w:sz w:val="18"/>
              </w:rPr>
              <w:t>Missions agent</w:t>
            </w:r>
          </w:p>
        </w:tc>
        <w:tc>
          <w:tcPr>
            <w:tcW w:w="623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36A00BD">
            <w:pPr>
              <w:spacing w:before="40" w:after="40" w:line="240" w:lineRule="auto"/>
            </w:pPr>
            <w:r>
              <w:rPr>
                <w:color w:val="1A1A2E"/>
                <w:sz w:val="18"/>
              </w:rPr>
              <w:t>Panel de missions structurées avec objectifs et priorités</w:t>
            </w:r>
          </w:p>
        </w:tc>
      </w:tr>
      <w:tr w14:paraId="532F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8601454">
            <w:pPr>
              <w:spacing w:before="40" w:after="40" w:line="240" w:lineRule="auto"/>
            </w:pPr>
            <w:r>
              <w:rPr>
                <w:color w:val="1A1A2E"/>
                <w:sz w:val="18"/>
              </w:rPr>
              <w:t>Mode hors-ligne</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958D13B">
            <w:pPr>
              <w:spacing w:before="40" w:after="40" w:line="240" w:lineRule="auto"/>
            </w:pPr>
            <w:r>
              <w:rPr>
                <w:color w:val="1A1A2E"/>
                <w:sz w:val="18"/>
              </w:rPr>
              <w:t>Saisie complète sans connexion, synchronisation différée</w:t>
            </w:r>
          </w:p>
        </w:tc>
      </w:tr>
      <w:tr w14:paraId="32EF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E0EBD2A">
            <w:pPr>
              <w:spacing w:before="40" w:after="40" w:line="240" w:lineRule="auto"/>
            </w:pPr>
            <w:r>
              <w:rPr>
                <w:color w:val="1A1A2E"/>
                <w:sz w:val="18"/>
              </w:rPr>
              <w:t>Historique terrain</w:t>
            </w:r>
          </w:p>
        </w:tc>
        <w:tc>
          <w:tcPr>
            <w:tcW w:w="623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861B551">
            <w:pPr>
              <w:spacing w:before="40" w:after="40" w:line="240" w:lineRule="auto"/>
            </w:pPr>
            <w:r>
              <w:rPr>
                <w:color w:val="1A1A2E"/>
                <w:sz w:val="18"/>
              </w:rPr>
              <w:t>Journal complet des activités terrain par agent</w:t>
            </w:r>
          </w:p>
        </w:tc>
      </w:tr>
      <w:tr w14:paraId="6BFA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4318EE6">
            <w:pPr>
              <w:spacing w:before="40" w:after="40" w:line="240" w:lineRule="auto"/>
            </w:pPr>
            <w:r>
              <w:rPr>
                <w:color w:val="1A1A2E"/>
                <w:sz w:val="18"/>
              </w:rPr>
              <w:t>Nouvelle visite</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EE3489E">
            <w:pPr>
              <w:spacing w:before="40" w:after="40" w:line="240" w:lineRule="auto"/>
            </w:pPr>
            <w:r>
              <w:rPr>
                <w:color w:val="1A1A2E"/>
                <w:sz w:val="18"/>
              </w:rPr>
              <w:t>Saisie guidée avec photos géolocalisées et compte-rendu</w:t>
            </w:r>
          </w:p>
        </w:tc>
      </w:tr>
    </w:tbl>
    <w:p w14:paraId="1D4EE706"/>
    <w:p w14:paraId="683BDC4F">
      <w:pPr>
        <w:spacing w:before="0" w:after="80"/>
        <w:jc w:val="both"/>
      </w:pPr>
      <w:r>
        <w:rPr>
          <w:color w:val="1A1A2E"/>
          <w:sz w:val="20"/>
        </w:rPr>
        <w:t>📱  Un agent de crédit équipé de Prospera peut gérer 150 à 200 emprunteurs actifs au lieu de 100 à 120 avec des méthodes traditionnelles.</w:t>
      </w:r>
    </w:p>
    <w:p w14:paraId="755481D1">
      <w:r>
        <w:br w:type="page"/>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4A01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2" w:type="dxa"/>
            <w:shd w:val="clear" w:color="auto" w:fill="1E3A5F"/>
          </w:tcPr>
          <w:p w14:paraId="0BB629C7">
            <w:pPr>
              <w:spacing w:before="80" w:after="80" w:line="240" w:lineRule="auto"/>
              <w:jc w:val="center"/>
            </w:pPr>
            <w:r>
              <w:rPr>
                <w:b/>
                <w:caps/>
                <w:color w:val="FFFFFF"/>
                <w:sz w:val="20"/>
              </w:rPr>
              <w:t>CONFORMITÉ, AUDIT &amp; KYC</w:t>
            </w:r>
          </w:p>
        </w:tc>
      </w:tr>
    </w:tbl>
    <w:p w14:paraId="480685E2"/>
    <w:p w14:paraId="480FB87E">
      <w:pPr>
        <w:spacing w:before="160" w:after="60"/>
      </w:pPr>
      <w:r>
        <w:rPr>
          <w:b/>
          <w:color w:val="1A2E4A"/>
          <w:sz w:val="24"/>
        </w:rPr>
        <w:t>3.7 Conformité BCEAO &amp; Audit</w:t>
      </w:r>
    </w:p>
    <w:p w14:paraId="0CA9F414">
      <w:pPr>
        <w:spacing w:before="120" w:after="40"/>
      </w:pPr>
      <w:r>
        <w:rPr>
          <w:b/>
          <w:color w:val="1E3A5F"/>
          <w:sz w:val="21"/>
        </w:rPr>
        <w:t>Module conformité</w:t>
      </w:r>
    </w:p>
    <w:p w14:paraId="3CD4FDB7">
      <w:pPr>
        <w:spacing w:before="40" w:after="40"/>
        <w:ind w:left="360" w:hanging="360"/>
      </w:pPr>
      <w:r>
        <w:rPr>
          <w:color w:val="D4AF37"/>
          <w:sz w:val="20"/>
        </w:rPr>
        <w:t xml:space="preserve">•  </w:t>
      </w:r>
      <w:r>
        <w:rPr>
          <w:color w:val="1A1A2E"/>
          <w:sz w:val="20"/>
        </w:rPr>
        <w:t>Tableaux réglementaires BCEAO complets</w:t>
      </w:r>
    </w:p>
    <w:p w14:paraId="76E11873">
      <w:pPr>
        <w:spacing w:before="40" w:after="40"/>
        <w:ind w:left="360" w:hanging="360"/>
      </w:pPr>
      <w:r>
        <w:rPr>
          <w:color w:val="D4AF37"/>
          <w:sz w:val="20"/>
        </w:rPr>
        <w:t xml:space="preserve">•  </w:t>
      </w:r>
      <w:r>
        <w:rPr>
          <w:color w:val="1A1A2E"/>
          <w:sz w:val="20"/>
        </w:rPr>
        <w:t>Export automatique en PDF et en HTML</w:t>
      </w:r>
    </w:p>
    <w:p w14:paraId="363B41D5">
      <w:pPr>
        <w:spacing w:before="40" w:after="40"/>
        <w:ind w:left="360" w:hanging="360"/>
      </w:pPr>
      <w:r>
        <w:rPr>
          <w:color w:val="D4AF37"/>
          <w:sz w:val="20"/>
        </w:rPr>
        <w:t xml:space="preserve">•  </w:t>
      </w:r>
      <w:r>
        <w:rPr>
          <w:color w:val="1A1A2E"/>
          <w:sz w:val="20"/>
        </w:rPr>
        <w:t>Vue Direction dédiée à la conformité réglementaire</w:t>
      </w:r>
    </w:p>
    <w:p w14:paraId="32C13A8F">
      <w:pPr>
        <w:spacing w:before="120" w:after="40"/>
      </w:pPr>
      <w:r>
        <w:rPr>
          <w:b/>
          <w:color w:val="1E3A5F"/>
          <w:sz w:val="21"/>
        </w:rPr>
        <w:t>Module audit (6 sous-modules)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953"/>
      </w:tblGrid>
      <w:tr w14:paraId="34A5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A2E4A"/>
            <w:vAlign w:val="center"/>
          </w:tcPr>
          <w:p w14:paraId="3492BE29">
            <w:pPr>
              <w:spacing w:before="60" w:after="60" w:line="240" w:lineRule="auto"/>
              <w:jc w:val="center"/>
            </w:pPr>
            <w:r>
              <w:rPr>
                <w:b/>
                <w:color w:val="FFFFFF"/>
                <w:sz w:val="18"/>
              </w:rPr>
              <w:t>Sous-module</w:t>
            </w:r>
          </w:p>
        </w:tc>
        <w:tc>
          <w:tcPr>
            <w:tcW w:w="5953" w:type="dxa"/>
            <w:shd w:val="clear" w:color="auto" w:fill="1A2E4A"/>
            <w:vAlign w:val="center"/>
          </w:tcPr>
          <w:p w14:paraId="6B073B2A">
            <w:pPr>
              <w:spacing w:before="60" w:after="60" w:line="240" w:lineRule="auto"/>
              <w:jc w:val="center"/>
            </w:pPr>
            <w:r>
              <w:rPr>
                <w:b/>
                <w:color w:val="FFFFFF"/>
                <w:sz w:val="18"/>
              </w:rPr>
              <w:t>Périmètre</w:t>
            </w:r>
          </w:p>
        </w:tc>
      </w:tr>
      <w:tr w14:paraId="19DF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072EA15">
            <w:pPr>
              <w:spacing w:before="40" w:after="40" w:line="240" w:lineRule="auto"/>
            </w:pPr>
            <w:r>
              <w:rPr>
                <w:color w:val="1A1A2E"/>
                <w:sz w:val="18"/>
              </w:rPr>
              <w:t>Audit agences</w:t>
            </w:r>
          </w:p>
        </w:tc>
        <w:tc>
          <w:tcPr>
            <w:tcW w:w="5953"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719D78A">
            <w:pPr>
              <w:spacing w:before="40" w:after="40" w:line="240" w:lineRule="auto"/>
            </w:pPr>
            <w:r>
              <w:rPr>
                <w:color w:val="1A1A2E"/>
                <w:sz w:val="18"/>
              </w:rPr>
              <w:t>Contrôle des opérations par agence</w:t>
            </w:r>
          </w:p>
        </w:tc>
      </w:tr>
      <w:tr w14:paraId="5801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CC791E4">
            <w:pPr>
              <w:spacing w:before="40" w:after="40" w:line="240" w:lineRule="auto"/>
            </w:pPr>
            <w:r>
              <w:rPr>
                <w:color w:val="1A1A2E"/>
                <w:sz w:val="18"/>
              </w:rPr>
              <w:t>Audit caisse</w:t>
            </w:r>
          </w:p>
        </w:tc>
        <w:tc>
          <w:tcPr>
            <w:tcW w:w="5953"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58171F7">
            <w:pPr>
              <w:spacing w:before="40" w:after="40" w:line="240" w:lineRule="auto"/>
            </w:pPr>
            <w:r>
              <w:rPr>
                <w:color w:val="1A1A2E"/>
                <w:sz w:val="18"/>
              </w:rPr>
              <w:t>Vérification des opérations de caisse</w:t>
            </w:r>
          </w:p>
        </w:tc>
      </w:tr>
      <w:tr w14:paraId="6304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2E3AF2D">
            <w:pPr>
              <w:spacing w:before="40" w:after="40" w:line="240" w:lineRule="auto"/>
            </w:pPr>
            <w:r>
              <w:rPr>
                <w:color w:val="1A1A2E"/>
                <w:sz w:val="18"/>
              </w:rPr>
              <w:t>Audit crédit</w:t>
            </w:r>
          </w:p>
        </w:tc>
        <w:tc>
          <w:tcPr>
            <w:tcW w:w="5953"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0350BA2">
            <w:pPr>
              <w:spacing w:before="40" w:after="40" w:line="240" w:lineRule="auto"/>
            </w:pPr>
            <w:r>
              <w:rPr>
                <w:color w:val="1A1A2E"/>
                <w:sz w:val="18"/>
              </w:rPr>
              <w:t>Contrôle du portefeuille crédit</w:t>
            </w:r>
          </w:p>
        </w:tc>
      </w:tr>
      <w:tr w14:paraId="67B6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F4255A6">
            <w:pPr>
              <w:spacing w:before="40" w:after="40" w:line="240" w:lineRule="auto"/>
            </w:pPr>
            <w:r>
              <w:rPr>
                <w:color w:val="1A1A2E"/>
                <w:sz w:val="18"/>
              </w:rPr>
              <w:t>Conformité BCEAO</w:t>
            </w:r>
          </w:p>
        </w:tc>
        <w:tc>
          <w:tcPr>
            <w:tcW w:w="5953"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EAE99EE">
            <w:pPr>
              <w:spacing w:before="40" w:after="40" w:line="240" w:lineRule="auto"/>
            </w:pPr>
            <w:r>
              <w:rPr>
                <w:color w:val="1A1A2E"/>
                <w:sz w:val="18"/>
              </w:rPr>
              <w:t>Tableaux et indicateurs réglementaires</w:t>
            </w:r>
          </w:p>
        </w:tc>
      </w:tr>
      <w:tr w14:paraId="14E20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C89A078">
            <w:pPr>
              <w:spacing w:before="40" w:after="40" w:line="240" w:lineRule="auto"/>
            </w:pPr>
            <w:r>
              <w:rPr>
                <w:color w:val="1A1A2E"/>
                <w:sz w:val="18"/>
              </w:rPr>
              <w:t>Traçabilité</w:t>
            </w:r>
          </w:p>
        </w:tc>
        <w:tc>
          <w:tcPr>
            <w:tcW w:w="5953"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D713F1C">
            <w:pPr>
              <w:spacing w:before="40" w:after="40" w:line="240" w:lineRule="auto"/>
            </w:pPr>
            <w:r>
              <w:rPr>
                <w:color w:val="1A1A2E"/>
                <w:sz w:val="18"/>
              </w:rPr>
              <w:t>Journal de toutes les actions utilisateurs</w:t>
            </w:r>
          </w:p>
        </w:tc>
      </w:tr>
      <w:tr w14:paraId="0D492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FA1F315">
            <w:pPr>
              <w:spacing w:before="40" w:after="40" w:line="240" w:lineRule="auto"/>
            </w:pPr>
            <w:r>
              <w:rPr>
                <w:color w:val="1A1A2E"/>
                <w:sz w:val="18"/>
              </w:rPr>
              <w:t>Anomalies</w:t>
            </w:r>
          </w:p>
        </w:tc>
        <w:tc>
          <w:tcPr>
            <w:tcW w:w="5953"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0337DC4">
            <w:pPr>
              <w:spacing w:before="40" w:after="40" w:line="240" w:lineRule="auto"/>
            </w:pPr>
            <w:r>
              <w:rPr>
                <w:color w:val="1A1A2E"/>
                <w:sz w:val="18"/>
              </w:rPr>
              <w:t>Détection et suivi des irrégularités</w:t>
            </w:r>
          </w:p>
        </w:tc>
      </w:tr>
    </w:tbl>
    <w:p w14:paraId="158FC161"/>
    <w:p w14:paraId="18392310">
      <w:pPr>
        <w:spacing w:before="120" w:after="40"/>
      </w:pPr>
      <w:r>
        <w:rPr>
          <w:b/>
          <w:color w:val="1E3A5F"/>
          <w:sz w:val="21"/>
        </w:rPr>
        <w:t>Comptabilité SYSCOHADA</w:t>
      </w:r>
    </w:p>
    <w:p w14:paraId="528FA450">
      <w:pPr>
        <w:spacing w:before="40" w:after="40"/>
        <w:ind w:left="360" w:hanging="360"/>
      </w:pPr>
      <w:r>
        <w:rPr>
          <w:color w:val="D4AF37"/>
          <w:sz w:val="20"/>
        </w:rPr>
        <w:t xml:space="preserve">•  </w:t>
      </w:r>
      <w:r>
        <w:rPr>
          <w:color w:val="1A1A2E"/>
          <w:sz w:val="20"/>
        </w:rPr>
        <w:t>Plan comptable SYSCOHADA intégré</w:t>
      </w:r>
    </w:p>
    <w:p w14:paraId="275D20D7">
      <w:pPr>
        <w:spacing w:before="40" w:after="40"/>
        <w:ind w:left="360" w:hanging="360"/>
      </w:pPr>
      <w:r>
        <w:rPr>
          <w:color w:val="D4AF37"/>
          <w:sz w:val="20"/>
        </w:rPr>
        <w:t xml:space="preserve">•  </w:t>
      </w:r>
      <w:r>
        <w:rPr>
          <w:color w:val="1A1A2E"/>
          <w:sz w:val="20"/>
        </w:rPr>
        <w:t>Vue DAF avec rapprochements comptables</w:t>
      </w:r>
    </w:p>
    <w:p w14:paraId="0C3459F0">
      <w:pPr>
        <w:spacing w:before="40" w:after="40"/>
        <w:ind w:left="360" w:hanging="360"/>
      </w:pPr>
      <w:r>
        <w:rPr>
          <w:color w:val="D4AF37"/>
          <w:sz w:val="20"/>
        </w:rPr>
        <w:t xml:space="preserve">•  </w:t>
      </w:r>
      <w:r>
        <w:rPr>
          <w:color w:val="1A1A2E"/>
          <w:sz w:val="20"/>
        </w:rPr>
        <w:t>Export comptable automatique</w:t>
      </w:r>
    </w:p>
    <w:p w14:paraId="6F5DD8B5">
      <w:pPr>
        <w:spacing w:before="160" w:after="60"/>
      </w:pPr>
      <w:r>
        <w:rPr>
          <w:b/>
          <w:color w:val="1A2E4A"/>
          <w:sz w:val="24"/>
        </w:rPr>
        <w:t xml:space="preserve">3.8 </w:t>
      </w:r>
      <w:r>
        <w:rPr>
          <w:b/>
          <w:color w:val="1A2E4A"/>
          <w:sz w:val="24"/>
          <w:lang w:val="en-US"/>
        </w:rPr>
        <w:t>Prospera</w:t>
      </w:r>
      <w:r>
        <w:rPr>
          <w:b/>
          <w:color w:val="1A2E4A"/>
          <w:sz w:val="24"/>
        </w:rPr>
        <w:t>IA intégré</w:t>
      </w:r>
    </w:p>
    <w:p w14:paraId="4424A9B6">
      <w:pPr>
        <w:spacing w:before="0" w:after="80"/>
        <w:jc w:val="both"/>
      </w:pPr>
      <w:r>
        <w:rPr>
          <w:color w:val="1A1A2E"/>
          <w:sz w:val="20"/>
        </w:rPr>
        <w:t xml:space="preserve">Le </w:t>
      </w:r>
      <w:r>
        <w:rPr>
          <w:color w:val="1A1A2E"/>
          <w:sz w:val="20"/>
          <w:lang w:val="en-US"/>
        </w:rPr>
        <w:t>Prospera</w:t>
      </w:r>
      <w:r>
        <w:rPr>
          <w:color w:val="1A1A2E"/>
          <w:sz w:val="20"/>
        </w:rPr>
        <w:t>IA est accessible depuis n’importe quelle page. Il :</w:t>
      </w:r>
    </w:p>
    <w:p w14:paraId="30BCC111">
      <w:pPr>
        <w:spacing w:before="40" w:after="40"/>
        <w:ind w:left="360" w:hanging="360"/>
      </w:pPr>
      <w:r>
        <w:rPr>
          <w:color w:val="D4AF37"/>
          <w:sz w:val="20"/>
        </w:rPr>
        <w:t xml:space="preserve">🧠  </w:t>
      </w:r>
      <w:r>
        <w:rPr>
          <w:color w:val="1A1A2E"/>
          <w:sz w:val="20"/>
        </w:rPr>
        <w:t>Analyse le contexte métier de la page en cours</w:t>
      </w:r>
    </w:p>
    <w:p w14:paraId="1D94AF25">
      <w:pPr>
        <w:spacing w:before="40" w:after="40"/>
        <w:ind w:left="360" w:hanging="360"/>
      </w:pPr>
      <w:r>
        <w:rPr>
          <w:color w:val="D4AF37"/>
          <w:sz w:val="20"/>
        </w:rPr>
        <w:t xml:space="preserve">🧠  </w:t>
      </w:r>
      <w:r>
        <w:rPr>
          <w:color w:val="1A1A2E"/>
          <w:sz w:val="20"/>
        </w:rPr>
        <w:t>Répond aux questions de l’utilisateur avec des données réelles</w:t>
      </w:r>
    </w:p>
    <w:p w14:paraId="43E3CC92">
      <w:pPr>
        <w:spacing w:before="40" w:after="40"/>
        <w:ind w:left="360" w:hanging="360"/>
      </w:pPr>
      <w:r>
        <w:rPr>
          <w:color w:val="D4AF37"/>
          <w:sz w:val="20"/>
        </w:rPr>
        <w:t xml:space="preserve">🧠  </w:t>
      </w:r>
      <w:r>
        <w:rPr>
          <w:color w:val="1A1A2E"/>
          <w:sz w:val="20"/>
        </w:rPr>
        <w:t>Propose des actions recommandées selon la situation</w:t>
      </w:r>
    </w:p>
    <w:p w14:paraId="0418F032">
      <w:pPr>
        <w:spacing w:before="40" w:after="40"/>
        <w:ind w:left="360" w:hanging="360"/>
      </w:pPr>
      <w:r>
        <w:rPr>
          <w:color w:val="D4AF37"/>
          <w:sz w:val="20"/>
        </w:rPr>
        <w:t xml:space="preserve">🧠  </w:t>
      </w:r>
      <w:r>
        <w:rPr>
          <w:color w:val="1A1A2E"/>
          <w:sz w:val="20"/>
        </w:rPr>
        <w:t>Génère des synthèses et rapports à la demande</w:t>
      </w:r>
    </w:p>
    <w:p w14:paraId="52DBC0C1">
      <w:pPr>
        <w:spacing w:before="160" w:after="60"/>
      </w:pPr>
      <w:r>
        <w:rPr>
          <w:b/>
          <w:color w:val="1A2E4A"/>
          <w:sz w:val="24"/>
        </w:rPr>
        <w:t>3.9 KYC &amp; Gestion clients</w:t>
      </w:r>
    </w:p>
    <w:p w14:paraId="07199DD2">
      <w:pPr>
        <w:spacing w:before="40" w:after="40"/>
        <w:ind w:left="360" w:hanging="360"/>
      </w:pPr>
      <w:r>
        <w:rPr>
          <w:color w:val="D4AF37"/>
          <w:sz w:val="20"/>
        </w:rPr>
        <w:t xml:space="preserve">•  </w:t>
      </w:r>
      <w:r>
        <w:rPr>
          <w:color w:val="1A1A2E"/>
          <w:sz w:val="20"/>
        </w:rPr>
        <w:t>Module KYC dédié avec vérification des pièces justificatives</w:t>
      </w:r>
    </w:p>
    <w:p w14:paraId="15622B38">
      <w:pPr>
        <w:spacing w:before="40" w:after="40"/>
        <w:ind w:left="360" w:hanging="360"/>
      </w:pPr>
      <w:r>
        <w:rPr>
          <w:color w:val="D4AF37"/>
          <w:sz w:val="20"/>
        </w:rPr>
        <w:t xml:space="preserve">•  </w:t>
      </w:r>
      <w:r>
        <w:rPr>
          <w:color w:val="1A1A2E"/>
          <w:sz w:val="20"/>
        </w:rPr>
        <w:t>Fiches clients microfinance enrichies (profil, risque, historique)</w:t>
      </w:r>
    </w:p>
    <w:p w14:paraId="5FE04A56">
      <w:pPr>
        <w:spacing w:before="40" w:after="40"/>
        <w:ind w:left="360" w:hanging="360"/>
      </w:pPr>
      <w:r>
        <w:rPr>
          <w:color w:val="D4AF37"/>
          <w:sz w:val="20"/>
        </w:rPr>
        <w:t xml:space="preserve">•  </w:t>
      </w:r>
      <w:r>
        <w:rPr>
          <w:color w:val="1A1A2E"/>
          <w:sz w:val="20"/>
        </w:rPr>
        <w:t>Création guidée de nouveaux clients</w:t>
      </w:r>
    </w:p>
    <w:p w14:paraId="679AEC35">
      <w:pPr>
        <w:spacing w:before="40" w:after="40"/>
        <w:ind w:left="360" w:hanging="360"/>
      </w:pPr>
      <w:r>
        <w:rPr>
          <w:color w:val="D4AF37"/>
          <w:sz w:val="20"/>
        </w:rPr>
        <w:t xml:space="preserve">•  </w:t>
      </w:r>
      <w:r>
        <w:rPr>
          <w:color w:val="1A1A2E"/>
          <w:sz w:val="20"/>
        </w:rPr>
        <w:t>Groupes solidarité pour la microfinance de groupe</w:t>
      </w:r>
    </w:p>
    <w:p w14:paraId="17043E68">
      <w:pPr>
        <w:spacing w:before="40" w:after="40"/>
        <w:ind w:left="360" w:hanging="360"/>
      </w:pPr>
      <w:r>
        <w:rPr>
          <w:color w:val="D4AF37"/>
          <w:sz w:val="20"/>
        </w:rPr>
        <w:t xml:space="preserve">•  </w:t>
      </w:r>
      <w:r>
        <w:rPr>
          <w:color w:val="1A1A2E"/>
          <w:sz w:val="20"/>
        </w:rPr>
        <w:t>Catalogue des produits financiers</w:t>
      </w:r>
    </w:p>
    <w:p w14:paraId="649FFBE7">
      <w:r>
        <w:br w:type="page"/>
      </w:r>
    </w:p>
    <w:p w14:paraId="08D1DBB3">
      <w:pPr>
        <w:pBdr>
          <w:bottom w:val="single" w:color="D4AF37" w:sz="6" w:space="1"/>
        </w:pBdr>
        <w:spacing w:before="240" w:after="80"/>
      </w:pPr>
      <w:r>
        <w:rPr>
          <w:b/>
          <w:color w:val="1A2E4A"/>
          <w:sz w:val="32"/>
        </w:rPr>
        <w:t>4. Pourquoi choisir Prospera ?</w:t>
      </w:r>
    </w:p>
    <w:p w14:paraId="2B0DBD3B">
      <w:pPr>
        <w:spacing w:before="160" w:after="60"/>
      </w:pPr>
      <w:r>
        <w:rPr>
          <w:b/>
          <w:color w:val="1A2E4A"/>
          <w:sz w:val="24"/>
        </w:rPr>
        <w:t>4.1 Comparatif avec les alternatives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1984"/>
        <w:gridCol w:w="1984"/>
        <w:gridCol w:w="2665"/>
      </w:tblGrid>
      <w:tr w14:paraId="6099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1A2E4A"/>
            <w:vAlign w:val="center"/>
          </w:tcPr>
          <w:p w14:paraId="5FB3DAB3">
            <w:pPr>
              <w:spacing w:before="60" w:after="60" w:line="240" w:lineRule="auto"/>
              <w:jc w:val="center"/>
            </w:pPr>
            <w:r>
              <w:rPr>
                <w:b/>
                <w:color w:val="FFFFFF"/>
                <w:sz w:val="18"/>
              </w:rPr>
              <w:t>Critère</w:t>
            </w:r>
          </w:p>
        </w:tc>
        <w:tc>
          <w:tcPr>
            <w:tcW w:w="1984" w:type="dxa"/>
            <w:shd w:val="clear" w:color="auto" w:fill="1A2E4A"/>
            <w:vAlign w:val="center"/>
          </w:tcPr>
          <w:p w14:paraId="543F6F6A">
            <w:pPr>
              <w:spacing w:before="60" w:after="60" w:line="240" w:lineRule="auto"/>
              <w:jc w:val="center"/>
            </w:pPr>
            <w:r>
              <w:rPr>
                <w:b/>
                <w:color w:val="FFFFFF"/>
                <w:sz w:val="18"/>
              </w:rPr>
              <w:t>Solutions SIG classiques</w:t>
            </w:r>
          </w:p>
        </w:tc>
        <w:tc>
          <w:tcPr>
            <w:tcW w:w="1984" w:type="dxa"/>
            <w:shd w:val="clear" w:color="auto" w:fill="1A2E4A"/>
            <w:vAlign w:val="center"/>
          </w:tcPr>
          <w:p w14:paraId="615A28D5">
            <w:pPr>
              <w:spacing w:before="60" w:after="60" w:line="240" w:lineRule="auto"/>
              <w:jc w:val="center"/>
            </w:pPr>
            <w:r>
              <w:rPr>
                <w:b/>
                <w:color w:val="FFFFFF"/>
                <w:sz w:val="18"/>
              </w:rPr>
              <w:t>CRM internationaux</w:t>
            </w:r>
          </w:p>
        </w:tc>
        <w:tc>
          <w:tcPr>
            <w:tcW w:w="2665" w:type="dxa"/>
            <w:shd w:val="clear" w:color="auto" w:fill="1A2E4A"/>
            <w:vAlign w:val="center"/>
          </w:tcPr>
          <w:p w14:paraId="1E4FEBB6">
            <w:pPr>
              <w:spacing w:before="60" w:after="60" w:line="240" w:lineRule="auto"/>
              <w:jc w:val="center"/>
            </w:pPr>
            <w:r>
              <w:rPr>
                <w:b/>
                <w:color w:val="FFFFFF"/>
                <w:sz w:val="18"/>
              </w:rPr>
              <w:t>Prospera</w:t>
            </w:r>
          </w:p>
        </w:tc>
      </w:tr>
      <w:tr w14:paraId="60DD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D2926BF">
            <w:pPr>
              <w:spacing w:before="40" w:after="40" w:line="240" w:lineRule="auto"/>
            </w:pPr>
            <w:r>
              <w:rPr>
                <w:color w:val="1A1A2E"/>
                <w:sz w:val="18"/>
              </w:rPr>
              <w:t>Mode offline</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6E6B875">
            <w:pPr>
              <w:spacing w:before="40" w:after="40" w:line="240" w:lineRule="auto"/>
            </w:pPr>
            <w:r>
              <w:rPr>
                <w:color w:val="1A1A2E"/>
                <w:sz w:val="18"/>
              </w:rPr>
              <w:t>Limité ou absent</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CC287CF">
            <w:pPr>
              <w:spacing w:before="40" w:after="40" w:line="240" w:lineRule="auto"/>
            </w:pPr>
            <w:r>
              <w:rPr>
                <w:color w:val="1A1A2E"/>
                <w:sz w:val="18"/>
              </w:rPr>
              <w:t>Très limité</w:t>
            </w:r>
          </w:p>
        </w:tc>
        <w:tc>
          <w:tcPr>
            <w:tcW w:w="266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3A13623">
            <w:pPr>
              <w:spacing w:before="40" w:after="40" w:line="240" w:lineRule="auto"/>
            </w:pPr>
            <w:r>
              <w:rPr>
                <w:color w:val="1A1A2E"/>
                <w:sz w:val="18"/>
              </w:rPr>
              <w:t>Offline-first complet</w:t>
            </w:r>
          </w:p>
        </w:tc>
      </w:tr>
      <w:tr w14:paraId="5AEF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274CEEA">
            <w:pPr>
              <w:spacing w:before="40" w:after="40" w:line="240" w:lineRule="auto"/>
            </w:pPr>
            <w:r>
              <w:rPr>
                <w:color w:val="1A1A2E"/>
                <w:sz w:val="18"/>
              </w:rPr>
              <w:t>IA prédictive</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89810CE">
            <w:pPr>
              <w:spacing w:before="40" w:after="40" w:line="240" w:lineRule="auto"/>
            </w:pPr>
            <w:r>
              <w:rPr>
                <w:color w:val="1A1A2E"/>
                <w:sz w:val="18"/>
              </w:rPr>
              <w:t>Absente</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56368E7">
            <w:pPr>
              <w:spacing w:before="40" w:after="40" w:line="240" w:lineRule="auto"/>
            </w:pPr>
            <w:r>
              <w:rPr>
                <w:color w:val="1A1A2E"/>
                <w:sz w:val="18"/>
              </w:rPr>
              <w:t>En option coûteuse</w:t>
            </w:r>
          </w:p>
        </w:tc>
        <w:tc>
          <w:tcPr>
            <w:tcW w:w="266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5693581">
            <w:pPr>
              <w:spacing w:before="40" w:after="40" w:line="240" w:lineRule="auto"/>
            </w:pPr>
            <w:r>
              <w:rPr>
                <w:color w:val="1A1A2E"/>
                <w:sz w:val="18"/>
              </w:rPr>
              <w:t>Intégrée nativement</w:t>
            </w:r>
          </w:p>
        </w:tc>
      </w:tr>
      <w:tr w14:paraId="7025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7F6A563">
            <w:pPr>
              <w:spacing w:before="40" w:after="40" w:line="240" w:lineRule="auto"/>
            </w:pPr>
            <w:r>
              <w:rPr>
                <w:color w:val="1A1A2E"/>
                <w:sz w:val="18"/>
              </w:rPr>
              <w:t>Mobile Money</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2141449">
            <w:pPr>
              <w:spacing w:before="40" w:after="40" w:line="240" w:lineRule="auto"/>
            </w:pPr>
            <w:r>
              <w:rPr>
                <w:color w:val="1A1A2E"/>
                <w:sz w:val="18"/>
              </w:rPr>
              <w:t>Partiel</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5C42703">
            <w:pPr>
              <w:spacing w:before="40" w:after="40" w:line="240" w:lineRule="auto"/>
            </w:pPr>
            <w:r>
              <w:rPr>
                <w:color w:val="1A1A2E"/>
                <w:sz w:val="18"/>
              </w:rPr>
              <w:t>Non supporté</w:t>
            </w:r>
          </w:p>
        </w:tc>
        <w:tc>
          <w:tcPr>
            <w:tcW w:w="266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F268F73">
            <w:pPr>
              <w:spacing w:before="40" w:after="40" w:line="240" w:lineRule="auto"/>
            </w:pPr>
            <w:r>
              <w:rPr>
                <w:color w:val="1A1A2E"/>
                <w:sz w:val="18"/>
              </w:rPr>
              <w:t>Mixx By Yas, Flooz</w:t>
            </w:r>
          </w:p>
        </w:tc>
      </w:tr>
      <w:tr w14:paraId="39FC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3A12817">
            <w:pPr>
              <w:spacing w:before="40" w:after="40" w:line="240" w:lineRule="auto"/>
            </w:pPr>
            <w:r>
              <w:rPr>
                <w:color w:val="1A1A2E"/>
                <w:sz w:val="18"/>
              </w:rPr>
              <w:t>WhatsApp natif</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2486B18">
            <w:pPr>
              <w:spacing w:before="40" w:after="40" w:line="240" w:lineRule="auto"/>
            </w:pPr>
            <w:r>
              <w:rPr>
                <w:color w:val="1A1A2E"/>
                <w:sz w:val="18"/>
              </w:rPr>
              <w:t>Non</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D9166B3">
            <w:pPr>
              <w:spacing w:before="40" w:after="40" w:line="240" w:lineRule="auto"/>
            </w:pPr>
            <w:r>
              <w:rPr>
                <w:color w:val="1A1A2E"/>
                <w:sz w:val="18"/>
              </w:rPr>
              <w:t>Via plugins tiers</w:t>
            </w:r>
          </w:p>
        </w:tc>
        <w:tc>
          <w:tcPr>
            <w:tcW w:w="266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2BA54FA">
            <w:pPr>
              <w:spacing w:before="40" w:after="40" w:line="240" w:lineRule="auto"/>
            </w:pPr>
            <w:r>
              <w:rPr>
                <w:color w:val="1A1A2E"/>
                <w:sz w:val="18"/>
              </w:rPr>
              <w:t>Intégration native complète</w:t>
            </w:r>
          </w:p>
        </w:tc>
      </w:tr>
      <w:tr w14:paraId="347F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5E0A24E">
            <w:pPr>
              <w:spacing w:before="40" w:after="40" w:line="240" w:lineRule="auto"/>
            </w:pPr>
            <w:r>
              <w:rPr>
                <w:color w:val="1A1A2E"/>
                <w:sz w:val="18"/>
              </w:rPr>
              <w:t>Suivi GPS agents</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7BB0B1F">
            <w:pPr>
              <w:spacing w:before="40" w:after="40" w:line="240" w:lineRule="auto"/>
            </w:pPr>
            <w:r>
              <w:rPr>
                <w:color w:val="1A1A2E"/>
                <w:sz w:val="18"/>
              </w:rPr>
              <w:t>Basique</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3DF6497">
            <w:pPr>
              <w:spacing w:before="40" w:after="40" w:line="240" w:lineRule="auto"/>
            </w:pPr>
            <w:r>
              <w:rPr>
                <w:color w:val="1A1A2E"/>
                <w:sz w:val="18"/>
              </w:rPr>
              <w:t>Générique</w:t>
            </w:r>
          </w:p>
        </w:tc>
        <w:tc>
          <w:tcPr>
            <w:tcW w:w="266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1CDA8B2">
            <w:pPr>
              <w:spacing w:before="40" w:after="40" w:line="240" w:lineRule="auto"/>
            </w:pPr>
            <w:r>
              <w:rPr>
                <w:color w:val="1A1A2E"/>
                <w:sz w:val="18"/>
              </w:rPr>
              <w:t>Spécialisé + validation visites</w:t>
            </w:r>
          </w:p>
        </w:tc>
      </w:tr>
      <w:tr w14:paraId="4CAE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341082F">
            <w:pPr>
              <w:spacing w:before="40" w:after="40" w:line="240" w:lineRule="auto"/>
            </w:pPr>
            <w:r>
              <w:rPr>
                <w:color w:val="1A1A2E"/>
                <w:sz w:val="18"/>
              </w:rPr>
              <w:t>Scoring emprunteurs</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6A1ED67">
            <w:pPr>
              <w:spacing w:before="40" w:after="40" w:line="240" w:lineRule="auto"/>
            </w:pPr>
            <w:r>
              <w:rPr>
                <w:color w:val="1A1A2E"/>
                <w:sz w:val="18"/>
              </w:rPr>
              <w:t>Manuel</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134EB1F2">
            <w:pPr>
              <w:spacing w:before="40" w:after="40" w:line="240" w:lineRule="auto"/>
            </w:pPr>
            <w:r>
              <w:rPr>
                <w:color w:val="1A1A2E"/>
                <w:sz w:val="18"/>
              </w:rPr>
              <w:t>Non adapté IMF</w:t>
            </w:r>
          </w:p>
        </w:tc>
        <w:tc>
          <w:tcPr>
            <w:tcW w:w="266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C8EB98F">
            <w:pPr>
              <w:spacing w:before="40" w:after="40" w:line="240" w:lineRule="auto"/>
            </w:pPr>
            <w:r>
              <w:rPr>
                <w:color w:val="1A1A2E"/>
                <w:sz w:val="18"/>
              </w:rPr>
              <w:t>IA scoring dynamique 0–100</w:t>
            </w:r>
          </w:p>
        </w:tc>
      </w:tr>
      <w:tr w14:paraId="4D58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A3D3D10">
            <w:pPr>
              <w:spacing w:before="40" w:after="40" w:line="240" w:lineRule="auto"/>
            </w:pPr>
            <w:r>
              <w:rPr>
                <w:color w:val="1A1A2E"/>
                <w:sz w:val="18"/>
              </w:rPr>
              <w:t>Conformité BCEAO</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61A3D1ED">
            <w:pPr>
              <w:spacing w:before="40" w:after="40" w:line="240" w:lineRule="auto"/>
            </w:pPr>
            <w:r>
              <w:rPr>
                <w:color w:val="1A1A2E"/>
                <w:sz w:val="18"/>
              </w:rPr>
              <w:t>Manuelle</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727145A">
            <w:pPr>
              <w:spacing w:before="40" w:after="40" w:line="240" w:lineRule="auto"/>
            </w:pPr>
            <w:r>
              <w:rPr>
                <w:color w:val="1A1A2E"/>
                <w:sz w:val="18"/>
              </w:rPr>
              <w:t>Non couverte</w:t>
            </w:r>
          </w:p>
        </w:tc>
        <w:tc>
          <w:tcPr>
            <w:tcW w:w="266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9DF3AF5">
            <w:pPr>
              <w:spacing w:before="40" w:after="40" w:line="240" w:lineRule="auto"/>
            </w:pPr>
            <w:r>
              <w:rPr>
                <w:color w:val="1A1A2E"/>
                <w:sz w:val="18"/>
              </w:rPr>
              <w:t>Export PDF automatisé</w:t>
            </w:r>
          </w:p>
        </w:tc>
      </w:tr>
      <w:tr w14:paraId="1947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13F65A74">
            <w:pPr>
              <w:spacing w:before="40" w:after="40" w:line="240" w:lineRule="auto"/>
            </w:pPr>
            <w:r>
              <w:rPr>
                <w:color w:val="1A1A2E"/>
                <w:sz w:val="18"/>
              </w:rPr>
              <w:t>Comptabilité</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BA21FB1">
            <w:pPr>
              <w:spacing w:before="40" w:after="40" w:line="240" w:lineRule="auto"/>
            </w:pPr>
            <w:r>
              <w:rPr>
                <w:color w:val="1A1A2E"/>
                <w:sz w:val="18"/>
              </w:rPr>
              <w:t>Externe</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324E0C6">
            <w:pPr>
              <w:spacing w:before="40" w:after="40" w:line="240" w:lineRule="auto"/>
            </w:pPr>
            <w:r>
              <w:rPr>
                <w:color w:val="1A1A2E"/>
                <w:sz w:val="18"/>
              </w:rPr>
              <w:t>Non intégrée</w:t>
            </w:r>
          </w:p>
        </w:tc>
        <w:tc>
          <w:tcPr>
            <w:tcW w:w="266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2CA838F">
            <w:pPr>
              <w:spacing w:before="40" w:after="40" w:line="240" w:lineRule="auto"/>
            </w:pPr>
            <w:r>
              <w:rPr>
                <w:color w:val="1A1A2E"/>
                <w:sz w:val="18"/>
              </w:rPr>
              <w:t>SYSCOHADA intégré</w:t>
            </w:r>
          </w:p>
        </w:tc>
      </w:tr>
      <w:tr w14:paraId="75B0A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4F352F8">
            <w:pPr>
              <w:spacing w:before="40" w:after="40" w:line="240" w:lineRule="auto"/>
            </w:pPr>
            <w:r>
              <w:rPr>
                <w:color w:val="1A1A2E"/>
                <w:sz w:val="18"/>
              </w:rPr>
              <w:t>Tableaux de bord</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4176668">
            <w:pPr>
              <w:spacing w:before="40" w:after="40" w:line="240" w:lineRule="auto"/>
            </w:pPr>
            <w:r>
              <w:rPr>
                <w:color w:val="1A1A2E"/>
                <w:sz w:val="18"/>
              </w:rPr>
              <w:t>Génériques</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E48DB74">
            <w:pPr>
              <w:spacing w:before="40" w:after="40" w:line="240" w:lineRule="auto"/>
            </w:pPr>
            <w:r>
              <w:rPr>
                <w:color w:val="1A1A2E"/>
                <w:sz w:val="18"/>
              </w:rPr>
              <w:t>Génériques</w:t>
            </w:r>
          </w:p>
        </w:tc>
        <w:tc>
          <w:tcPr>
            <w:tcW w:w="2665"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9025ED7">
            <w:pPr>
              <w:spacing w:before="40" w:after="40" w:line="240" w:lineRule="auto"/>
            </w:pPr>
            <w:r>
              <w:rPr>
                <w:color w:val="1A1A2E"/>
                <w:sz w:val="18"/>
              </w:rPr>
              <w:t>10 personas dédiés</w:t>
            </w:r>
          </w:p>
        </w:tc>
      </w:tr>
      <w:tr w14:paraId="3256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7C37785">
            <w:pPr>
              <w:spacing w:before="40" w:after="40" w:line="240" w:lineRule="auto"/>
            </w:pPr>
            <w:r>
              <w:rPr>
                <w:color w:val="1A1A2E"/>
                <w:sz w:val="18"/>
              </w:rPr>
              <w:t>Prix</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113977B">
            <w:pPr>
              <w:spacing w:before="40" w:after="40" w:line="240" w:lineRule="auto"/>
            </w:pPr>
            <w:r>
              <w:rPr>
                <w:color w:val="1A1A2E"/>
                <w:sz w:val="18"/>
              </w:rPr>
              <w:t>Variable</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43537DE8">
            <w:pPr>
              <w:spacing w:before="40" w:after="40" w:line="240" w:lineRule="auto"/>
            </w:pPr>
            <w:r>
              <w:rPr>
                <w:color w:val="1A1A2E"/>
                <w:sz w:val="18"/>
              </w:rPr>
              <w:t>Très élevé</w:t>
            </w:r>
          </w:p>
        </w:tc>
        <w:tc>
          <w:tcPr>
            <w:tcW w:w="2665"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F527C3D">
            <w:pPr>
              <w:spacing w:before="40" w:after="40" w:line="240" w:lineRule="auto"/>
            </w:pPr>
            <w:r>
              <w:rPr>
                <w:color w:val="1A1A2E"/>
                <w:sz w:val="18"/>
              </w:rPr>
              <w:t>Adapté marché africain</w:t>
            </w:r>
          </w:p>
        </w:tc>
      </w:tr>
    </w:tbl>
    <w:p w14:paraId="4F0F8447"/>
    <w:p w14:paraId="01ABEFEE">
      <w:pPr>
        <w:spacing w:before="160" w:after="60"/>
      </w:pPr>
      <w:r>
        <w:rPr>
          <w:b/>
          <w:color w:val="1A2E4A"/>
          <w:sz w:val="24"/>
        </w:rPr>
        <w:t>4.2 Retour sur investissement estimé</w:t>
      </w:r>
    </w:p>
    <w:p w14:paraId="5D6FA748">
      <w:pPr>
        <w:spacing w:before="0" w:after="80"/>
        <w:jc w:val="both"/>
      </w:pPr>
      <w:r>
        <w:rPr>
          <w:color w:val="1A1A2E"/>
          <w:sz w:val="20"/>
        </w:rPr>
        <w:t>Sur la base d’une IMF de taille moyenne (50 agents, portefeuille de 2 milliards FCFA, 10 000 emprunteurs actifs)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984"/>
        <w:gridCol w:w="3402"/>
      </w:tblGrid>
      <w:tr w14:paraId="0544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A2E4A"/>
            <w:vAlign w:val="center"/>
          </w:tcPr>
          <w:p w14:paraId="3CA2A6DF">
            <w:pPr>
              <w:spacing w:before="60" w:after="60" w:line="240" w:lineRule="auto"/>
              <w:jc w:val="center"/>
            </w:pPr>
            <w:r>
              <w:rPr>
                <w:b/>
                <w:color w:val="FFFFFF"/>
                <w:sz w:val="18"/>
              </w:rPr>
              <w:t>Levier de valeur</w:t>
            </w:r>
          </w:p>
        </w:tc>
        <w:tc>
          <w:tcPr>
            <w:tcW w:w="1984" w:type="dxa"/>
            <w:shd w:val="clear" w:color="auto" w:fill="1A2E4A"/>
            <w:vAlign w:val="center"/>
          </w:tcPr>
          <w:p w14:paraId="7BA5E850">
            <w:pPr>
              <w:spacing w:before="60" w:after="60" w:line="240" w:lineRule="auto"/>
              <w:jc w:val="center"/>
            </w:pPr>
            <w:r>
              <w:rPr>
                <w:b/>
                <w:color w:val="FFFFFF"/>
                <w:sz w:val="18"/>
              </w:rPr>
              <w:t>Gain estimé / an</w:t>
            </w:r>
          </w:p>
        </w:tc>
        <w:tc>
          <w:tcPr>
            <w:tcW w:w="3402" w:type="dxa"/>
            <w:shd w:val="clear" w:color="auto" w:fill="1A2E4A"/>
            <w:vAlign w:val="center"/>
          </w:tcPr>
          <w:p w14:paraId="718650F0">
            <w:pPr>
              <w:spacing w:before="60" w:after="60" w:line="240" w:lineRule="auto"/>
              <w:jc w:val="center"/>
            </w:pPr>
            <w:r>
              <w:rPr>
                <w:b/>
                <w:color w:val="FFFFFF"/>
                <w:sz w:val="18"/>
              </w:rPr>
              <w:t>Méthode</w:t>
            </w:r>
          </w:p>
        </w:tc>
      </w:tr>
      <w:tr w14:paraId="4C88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8115808">
            <w:pPr>
              <w:spacing w:before="40" w:after="40" w:line="240" w:lineRule="auto"/>
            </w:pPr>
            <w:r>
              <w:rPr>
                <w:color w:val="1A1A2E"/>
                <w:sz w:val="18"/>
              </w:rPr>
              <w:t>Réduction du PAR &gt; 30j (de 12 % à 8 %)</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492C8D9">
            <w:pPr>
              <w:spacing w:before="40" w:after="40" w:line="240" w:lineRule="auto"/>
            </w:pPr>
            <w:r>
              <w:rPr>
                <w:color w:val="1A1A2E"/>
                <w:sz w:val="18"/>
              </w:rPr>
              <w:t>80 M FCFA</w:t>
            </w:r>
          </w:p>
        </w:tc>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8296955">
            <w:pPr>
              <w:spacing w:before="40" w:after="40" w:line="240" w:lineRule="auto"/>
            </w:pPr>
            <w:r>
              <w:rPr>
                <w:color w:val="1A1A2E"/>
                <w:sz w:val="18"/>
              </w:rPr>
              <w:t>Relances IA + scoring prédictif</w:t>
            </w:r>
          </w:p>
        </w:tc>
      </w:tr>
      <w:tr w14:paraId="3092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72A56BD">
            <w:pPr>
              <w:spacing w:before="40" w:after="40" w:line="240" w:lineRule="auto"/>
            </w:pPr>
            <w:r>
              <w:rPr>
                <w:color w:val="1A1A2E"/>
                <w:sz w:val="18"/>
              </w:rPr>
              <w:t>Elimination fraude agents (espèces)</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D9AF880">
            <w:pPr>
              <w:spacing w:before="40" w:after="40" w:line="240" w:lineRule="auto"/>
            </w:pPr>
            <w:r>
              <w:rPr>
                <w:color w:val="1A1A2E"/>
                <w:sz w:val="18"/>
              </w:rPr>
              <w:t>50 M FCFA</w:t>
            </w:r>
          </w:p>
        </w:tc>
        <w:tc>
          <w:tcPr>
            <w:tcW w:w="3402"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60704FDF">
            <w:pPr>
              <w:spacing w:before="40" w:after="40" w:line="240" w:lineRule="auto"/>
            </w:pPr>
            <w:r>
              <w:rPr>
                <w:color w:val="1A1A2E"/>
                <w:sz w:val="18"/>
              </w:rPr>
              <w:t>100 % Mobile Money</w:t>
            </w:r>
          </w:p>
        </w:tc>
      </w:tr>
      <w:tr w14:paraId="0FB6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83A0DD0">
            <w:pPr>
              <w:spacing w:before="40" w:after="40" w:line="240" w:lineRule="auto"/>
            </w:pPr>
            <w:r>
              <w:rPr>
                <w:color w:val="1A1A2E"/>
                <w:sz w:val="18"/>
              </w:rPr>
              <w:t>Productivité agents (+40 % clients gérés)</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316ACE8">
            <w:pPr>
              <w:spacing w:before="40" w:after="40" w:line="240" w:lineRule="auto"/>
            </w:pPr>
            <w:r>
              <w:rPr>
                <w:color w:val="1A1A2E"/>
                <w:sz w:val="18"/>
              </w:rPr>
              <w:t>60 M FCFA</w:t>
            </w:r>
          </w:p>
        </w:tc>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FC71021">
            <w:pPr>
              <w:spacing w:before="40" w:after="40" w:line="240" w:lineRule="auto"/>
            </w:pPr>
            <w:r>
              <w:rPr>
                <w:color w:val="1A1A2E"/>
                <w:sz w:val="18"/>
              </w:rPr>
              <w:t>Missions structurées + tournées IA</w:t>
            </w:r>
          </w:p>
        </w:tc>
      </w:tr>
      <w:tr w14:paraId="658E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64DAF63">
            <w:pPr>
              <w:spacing w:before="40" w:after="40" w:line="240" w:lineRule="auto"/>
            </w:pPr>
            <w:r>
              <w:rPr>
                <w:color w:val="1A1A2E"/>
                <w:sz w:val="18"/>
              </w:rPr>
              <w:t>Réduction coûts reporting/conformité</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A4CD5D1">
            <w:pPr>
              <w:spacing w:before="40" w:after="40" w:line="240" w:lineRule="auto"/>
            </w:pPr>
            <w:r>
              <w:rPr>
                <w:color w:val="1A1A2E"/>
                <w:sz w:val="18"/>
              </w:rPr>
              <w:t>15 M FCFA</w:t>
            </w:r>
          </w:p>
        </w:tc>
        <w:tc>
          <w:tcPr>
            <w:tcW w:w="3402"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45739B0">
            <w:pPr>
              <w:spacing w:before="40" w:after="40" w:line="240" w:lineRule="auto"/>
            </w:pPr>
            <w:r>
              <w:rPr>
                <w:color w:val="1A1A2E"/>
                <w:sz w:val="18"/>
              </w:rPr>
              <w:t>Reporting automatisé BCEAO</w:t>
            </w:r>
          </w:p>
        </w:tc>
      </w:tr>
      <w:tr w14:paraId="0B18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6EF05D6">
            <w:pPr>
              <w:spacing w:before="40" w:after="40" w:line="240" w:lineRule="auto"/>
            </w:pPr>
            <w:r>
              <w:rPr>
                <w:color w:val="1A1A2E"/>
                <w:sz w:val="18"/>
              </w:rPr>
              <w:t>Recouvrement optimisé</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1665ACB">
            <w:pPr>
              <w:spacing w:before="40" w:after="40" w:line="240" w:lineRule="auto"/>
            </w:pPr>
            <w:r>
              <w:rPr>
                <w:color w:val="1A1A2E"/>
                <w:sz w:val="18"/>
              </w:rPr>
              <w:t>40 M FCFA</w:t>
            </w:r>
          </w:p>
        </w:tc>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158C95D">
            <w:pPr>
              <w:spacing w:before="40" w:after="40" w:line="240" w:lineRule="auto"/>
            </w:pPr>
            <w:r>
              <w:rPr>
                <w:color w:val="1A1A2E"/>
                <w:sz w:val="18"/>
              </w:rPr>
              <w:t>Relances auto + équipes ROC</w:t>
            </w:r>
          </w:p>
        </w:tc>
      </w:tr>
      <w:tr w14:paraId="1E18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ECC5DB0">
            <w:pPr>
              <w:spacing w:before="40" w:after="40" w:line="240" w:lineRule="auto"/>
            </w:pPr>
            <w:r>
              <w:rPr>
                <w:color w:val="1A1A2E"/>
                <w:sz w:val="18"/>
              </w:rPr>
              <w:t xml:space="preserve">Gain direction (vue 360° + </w:t>
            </w:r>
            <w:r>
              <w:rPr>
                <w:color w:val="1A1A2E"/>
                <w:sz w:val="18"/>
                <w:lang w:val="en-US"/>
              </w:rPr>
              <w:t>Prospera</w:t>
            </w:r>
            <w:r>
              <w:rPr>
                <w:color w:val="1A1A2E"/>
                <w:sz w:val="18"/>
              </w:rPr>
              <w:t>IA)</w:t>
            </w:r>
          </w:p>
        </w:tc>
        <w:tc>
          <w:tcPr>
            <w:tcW w:w="198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E92A250">
            <w:pPr>
              <w:spacing w:before="40" w:after="40" w:line="240" w:lineRule="auto"/>
            </w:pPr>
            <w:r>
              <w:rPr>
                <w:color w:val="1A1A2E"/>
                <w:sz w:val="18"/>
              </w:rPr>
              <w:t>20 M FCFA</w:t>
            </w:r>
          </w:p>
        </w:tc>
        <w:tc>
          <w:tcPr>
            <w:tcW w:w="3402"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3ECE233">
            <w:pPr>
              <w:spacing w:before="40" w:after="40" w:line="240" w:lineRule="auto"/>
            </w:pPr>
            <w:r>
              <w:rPr>
                <w:color w:val="1A1A2E"/>
                <w:sz w:val="18"/>
              </w:rPr>
              <w:t>Prise de décision accélérée</w:t>
            </w:r>
          </w:p>
        </w:tc>
      </w:tr>
      <w:tr w14:paraId="7AFF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A3BC5A2">
            <w:pPr>
              <w:spacing w:before="40" w:after="40" w:line="240" w:lineRule="auto"/>
            </w:pPr>
            <w:r>
              <w:rPr>
                <w:b/>
                <w:color w:val="1A1A2E"/>
                <w:sz w:val="18"/>
              </w:rPr>
              <w:t>TOTAL GAINS ESTIMÉS</w:t>
            </w:r>
          </w:p>
        </w:tc>
        <w:tc>
          <w:tcPr>
            <w:tcW w:w="198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017B213">
            <w:pPr>
              <w:spacing w:before="40" w:after="40" w:line="240" w:lineRule="auto"/>
            </w:pPr>
            <w:r>
              <w:rPr>
                <w:b/>
                <w:color w:val="1A1A2E"/>
                <w:sz w:val="18"/>
              </w:rPr>
              <w:t>265 M FCFA / an</w:t>
            </w:r>
          </w:p>
        </w:tc>
        <w:tc>
          <w:tcPr>
            <w:tcW w:w="340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663BAB3">
            <w:pPr>
              <w:spacing w:before="40" w:after="40" w:line="240" w:lineRule="auto"/>
            </w:pPr>
          </w:p>
        </w:tc>
      </w:tr>
    </w:tbl>
    <w:p w14:paraId="63E99361"/>
    <w:p w14:paraId="2D4BB6B9">
      <w:pPr>
        <w:spacing w:before="0" w:after="80"/>
        <w:jc w:val="both"/>
      </w:pPr>
      <w:r>
        <w:rPr>
          <w:color w:val="1A1A2E"/>
          <w:sz w:val="20"/>
        </w:rPr>
        <w:t>Le ROI estimé est de 5x à 8x le coût annuel de la licence Prospera dès la première année de déploiement.</w:t>
      </w:r>
    </w:p>
    <w:p w14:paraId="43B9665B">
      <w:r>
        <w:br w:type="page"/>
      </w:r>
    </w:p>
    <w:p w14:paraId="1C2DB1F5">
      <w:pPr>
        <w:pBdr>
          <w:bottom w:val="single" w:color="D4AF37" w:sz="6" w:space="1"/>
        </w:pBdr>
        <w:spacing w:before="240" w:after="80"/>
      </w:pPr>
      <w:r>
        <w:rPr>
          <w:b/>
          <w:color w:val="1A2E4A"/>
          <w:sz w:val="32"/>
        </w:rPr>
        <w:t>5. Plan de déploiement recommandé</w:t>
      </w:r>
    </w:p>
    <w:p w14:paraId="3FB4333E">
      <w:pPr>
        <w:spacing w:before="0" w:after="80"/>
        <w:jc w:val="both"/>
      </w:pPr>
      <w:r>
        <w:rPr>
          <w:color w:val="1A1A2E"/>
          <w:sz w:val="20"/>
        </w:rPr>
        <w:t>Le déploiement de Prospera dans une institution de microfinance suit un plan progressif en 3 phases pour garantir une adoption réussie et un impact mesurable rapidement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134"/>
        <w:gridCol w:w="5272"/>
      </w:tblGrid>
      <w:tr w14:paraId="1FC2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1A2E4A"/>
            <w:vAlign w:val="center"/>
          </w:tcPr>
          <w:p w14:paraId="653906D4">
            <w:pPr>
              <w:spacing w:before="60" w:after="60" w:line="240" w:lineRule="auto"/>
              <w:jc w:val="center"/>
            </w:pPr>
            <w:r>
              <w:rPr>
                <w:b/>
                <w:color w:val="FFFFFF"/>
                <w:sz w:val="18"/>
              </w:rPr>
              <w:t>Phase</w:t>
            </w:r>
          </w:p>
        </w:tc>
        <w:tc>
          <w:tcPr>
            <w:tcW w:w="1134" w:type="dxa"/>
            <w:shd w:val="clear" w:color="auto" w:fill="1A2E4A"/>
            <w:vAlign w:val="center"/>
          </w:tcPr>
          <w:p w14:paraId="01671E5E">
            <w:pPr>
              <w:spacing w:before="60" w:after="60" w:line="240" w:lineRule="auto"/>
              <w:jc w:val="center"/>
            </w:pPr>
            <w:r>
              <w:rPr>
                <w:b/>
                <w:color w:val="FFFFFF"/>
                <w:sz w:val="18"/>
              </w:rPr>
              <w:t>Durée</w:t>
            </w:r>
          </w:p>
        </w:tc>
        <w:tc>
          <w:tcPr>
            <w:tcW w:w="5272" w:type="dxa"/>
            <w:shd w:val="clear" w:color="auto" w:fill="1A2E4A"/>
            <w:vAlign w:val="center"/>
          </w:tcPr>
          <w:p w14:paraId="5C5E9D55">
            <w:pPr>
              <w:spacing w:before="60" w:after="60" w:line="240" w:lineRule="auto"/>
              <w:jc w:val="center"/>
            </w:pPr>
            <w:r>
              <w:rPr>
                <w:b/>
                <w:color w:val="FFFFFF"/>
                <w:sz w:val="18"/>
              </w:rPr>
              <w:t>Actions clés</w:t>
            </w:r>
          </w:p>
        </w:tc>
      </w:tr>
      <w:tr w14:paraId="3EAE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DD1BCC9">
            <w:pPr>
              <w:spacing w:before="40" w:after="40" w:line="240" w:lineRule="auto"/>
            </w:pPr>
            <w:r>
              <w:rPr>
                <w:color w:val="1A1A2E"/>
                <w:sz w:val="18"/>
              </w:rPr>
              <w:t>Phase 1 — Fondations</w:t>
            </w:r>
          </w:p>
        </w:tc>
        <w:tc>
          <w:tcPr>
            <w:tcW w:w="113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6116A9EF">
            <w:pPr>
              <w:spacing w:before="40" w:after="40" w:line="240" w:lineRule="auto"/>
            </w:pPr>
            <w:r>
              <w:rPr>
                <w:color w:val="1A1A2E"/>
                <w:sz w:val="18"/>
              </w:rPr>
              <w:t>Mois 1–2</w:t>
            </w:r>
          </w:p>
        </w:tc>
        <w:tc>
          <w:tcPr>
            <w:tcW w:w="527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16E1C33F">
            <w:pPr>
              <w:spacing w:before="40" w:after="40" w:line="240" w:lineRule="auto"/>
            </w:pPr>
            <w:r>
              <w:rPr>
                <w:color w:val="1A1A2E"/>
                <w:sz w:val="18"/>
              </w:rPr>
              <w:t>Déploiement de la plateforme, paramétrage (agences, zones, utilisateurs, produits), formation DG / Responsable d’Agence / CC / Agent terrain, migration des données</w:t>
            </w:r>
          </w:p>
        </w:tc>
      </w:tr>
      <w:tr w14:paraId="6B7D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1894CF6">
            <w:pPr>
              <w:spacing w:before="40" w:after="40" w:line="240" w:lineRule="auto"/>
            </w:pPr>
            <w:r>
              <w:rPr>
                <w:color w:val="1A1A2E"/>
                <w:sz w:val="18"/>
              </w:rPr>
              <w:t>Phase 2 — Crédit &amp; Terrain</w:t>
            </w:r>
          </w:p>
        </w:tc>
        <w:tc>
          <w:tcPr>
            <w:tcW w:w="1134"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7AF58598">
            <w:pPr>
              <w:spacing w:before="40" w:after="40" w:line="240" w:lineRule="auto"/>
            </w:pPr>
            <w:r>
              <w:rPr>
                <w:color w:val="1A1A2E"/>
                <w:sz w:val="18"/>
              </w:rPr>
              <w:t>Mois 3–4</w:t>
            </w:r>
          </w:p>
        </w:tc>
        <w:tc>
          <w:tcPr>
            <w:tcW w:w="5272"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C21C748">
            <w:pPr>
              <w:spacing w:before="40" w:after="40" w:line="240" w:lineRule="auto"/>
            </w:pPr>
            <w:r>
              <w:rPr>
                <w:color w:val="1A1A2E"/>
                <w:sz w:val="18"/>
              </w:rPr>
              <w:t>Activation pipeline crédit Kanban, formation CC et ROC, déploiement GPS et mode offline, activation relances WhatsApp/SMS, intégration Mobile Money</w:t>
            </w:r>
          </w:p>
        </w:tc>
      </w:tr>
      <w:tr w14:paraId="7F53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4A84DCBB">
            <w:pPr>
              <w:spacing w:before="40" w:after="40" w:line="240" w:lineRule="auto"/>
            </w:pPr>
            <w:r>
              <w:rPr>
                <w:color w:val="1A1A2E"/>
                <w:sz w:val="18"/>
              </w:rPr>
              <w:t>Phase 3 — Optimisation complète</w:t>
            </w:r>
          </w:p>
        </w:tc>
        <w:tc>
          <w:tcPr>
            <w:tcW w:w="1134"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33B4338">
            <w:pPr>
              <w:spacing w:before="40" w:after="40" w:line="240" w:lineRule="auto"/>
            </w:pPr>
            <w:r>
              <w:rPr>
                <w:color w:val="1A1A2E"/>
                <w:sz w:val="18"/>
              </w:rPr>
              <w:t>Mois 5–6</w:t>
            </w:r>
          </w:p>
        </w:tc>
        <w:tc>
          <w:tcPr>
            <w:tcW w:w="5272"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70D577E4">
            <w:pPr>
              <w:spacing w:before="40" w:after="40" w:line="240" w:lineRule="auto"/>
            </w:pPr>
            <w:r>
              <w:rPr>
                <w:color w:val="1A1A2E"/>
                <w:sz w:val="18"/>
              </w:rPr>
              <w:t>Configuration conformité BCEAO, activation SYSCOHADA, calibration des scores IA sur l’historique réel, activation vue 360° DG et drill-down complet</w:t>
            </w:r>
          </w:p>
        </w:tc>
      </w:tr>
    </w:tbl>
    <w:p w14:paraId="3D24BA47"/>
    <w:p w14:paraId="61D45186">
      <w:pPr>
        <w:spacing w:before="160" w:after="60"/>
      </w:pPr>
      <w:r>
        <w:rPr>
          <w:b/>
          <w:color w:val="1A2E4A"/>
          <w:sz w:val="24"/>
        </w:rPr>
        <w:t>5.1 Accompagnement inclus</w:t>
      </w:r>
    </w:p>
    <w:p w14:paraId="78BD7A32">
      <w:pPr>
        <w:spacing w:before="40" w:after="40"/>
        <w:ind w:left="360" w:hanging="360"/>
      </w:pPr>
      <w:r>
        <w:rPr>
          <w:color w:val="D4AF37"/>
          <w:sz w:val="20"/>
        </w:rPr>
        <w:t xml:space="preserve">✅  </w:t>
      </w:r>
      <w:r>
        <w:rPr>
          <w:color w:val="1A1A2E"/>
          <w:sz w:val="20"/>
        </w:rPr>
        <w:t>Équipe de déploiement dédiée avec expertise microfinance africaine</w:t>
      </w:r>
    </w:p>
    <w:p w14:paraId="0AC151BD">
      <w:pPr>
        <w:spacing w:before="40" w:after="40"/>
        <w:ind w:left="360" w:hanging="360"/>
      </w:pPr>
      <w:r>
        <w:rPr>
          <w:color w:val="D4AF37"/>
          <w:sz w:val="20"/>
        </w:rPr>
        <w:t xml:space="preserve">✅  </w:t>
      </w:r>
      <w:r>
        <w:rPr>
          <w:color w:val="1A1A2E"/>
          <w:sz w:val="20"/>
        </w:rPr>
        <w:t>Formation sur site pour les agents, superviseurs et la direction</w:t>
      </w:r>
    </w:p>
    <w:p w14:paraId="28198277">
      <w:pPr>
        <w:spacing w:before="40" w:after="40"/>
        <w:ind w:left="360" w:hanging="360"/>
      </w:pPr>
      <w:r>
        <w:rPr>
          <w:color w:val="D4AF37"/>
          <w:sz w:val="20"/>
        </w:rPr>
        <w:t xml:space="preserve">✅  </w:t>
      </w:r>
      <w:r>
        <w:rPr>
          <w:color w:val="1A1A2E"/>
          <w:sz w:val="20"/>
        </w:rPr>
        <w:t>Migration des données depuis votre système actuel (Excel, SIG, papier)</w:t>
      </w:r>
    </w:p>
    <w:p w14:paraId="245F1649">
      <w:pPr>
        <w:spacing w:before="40" w:after="40"/>
        <w:ind w:left="360" w:hanging="360"/>
      </w:pPr>
      <w:r>
        <w:rPr>
          <w:color w:val="D4AF37"/>
          <w:sz w:val="20"/>
        </w:rPr>
        <w:t xml:space="preserve">✅  </w:t>
      </w:r>
      <w:r>
        <w:rPr>
          <w:color w:val="1A1A2E"/>
          <w:sz w:val="20"/>
        </w:rPr>
        <w:t>Configuration personnalisée des pipelines, produits de crédit et grilles de scoring</w:t>
      </w:r>
    </w:p>
    <w:p w14:paraId="5DAA8BA6">
      <w:pPr>
        <w:spacing w:before="40" w:after="40"/>
        <w:ind w:left="360" w:hanging="360"/>
      </w:pPr>
      <w:r>
        <w:rPr>
          <w:color w:val="D4AF37"/>
          <w:sz w:val="20"/>
        </w:rPr>
        <w:t xml:space="preserve">✅  </w:t>
      </w:r>
      <w:r>
        <w:rPr>
          <w:color w:val="1A1A2E"/>
          <w:sz w:val="20"/>
        </w:rPr>
        <w:t>Support technique continu avec SLA adapté</w:t>
      </w:r>
    </w:p>
    <w:p w14:paraId="0BEA9BAF">
      <w:pPr>
        <w:spacing w:before="40" w:after="40"/>
        <w:ind w:left="360" w:hanging="360"/>
      </w:pPr>
      <w:r>
        <w:rPr>
          <w:color w:val="D4AF37"/>
          <w:sz w:val="20"/>
        </w:rPr>
        <w:t xml:space="preserve">✅  </w:t>
      </w:r>
      <w:r>
        <w:rPr>
          <w:color w:val="1A1A2E"/>
          <w:sz w:val="20"/>
        </w:rPr>
        <w:t>Accès aux mises à jour de la plateforme</w:t>
      </w:r>
    </w:p>
    <w:p w14:paraId="3667345E">
      <w:r>
        <w:br w:type="page"/>
      </w:r>
    </w:p>
    <w:p w14:paraId="762C8941">
      <w:pPr>
        <w:pBdr>
          <w:bottom w:val="single" w:color="D4AF37" w:sz="6" w:space="1"/>
        </w:pBdr>
        <w:spacing w:before="240" w:after="80"/>
      </w:pPr>
      <w:r>
        <w:rPr>
          <w:b/>
          <w:color w:val="1A2E4A"/>
          <w:sz w:val="32"/>
        </w:rPr>
        <w:t>6. Conclusion</w:t>
      </w:r>
    </w:p>
    <w:p w14:paraId="12209D8A">
      <w:pPr>
        <w:spacing w:before="0" w:after="80"/>
        <w:jc w:val="both"/>
      </w:pPr>
      <w:r>
        <w:rPr>
          <w:color w:val="1A1A2E"/>
          <w:sz w:val="20"/>
        </w:rPr>
        <w:t>Prospera n’est pas un CRM générique adapté à la microfinance. C’est une plateforme conçue dès le départ pour les réalités opérationnelles africaines, avec l’intelligence artificielle comme fondation et non comme simple ajout.</w:t>
      </w:r>
    </w:p>
    <w:p w14:paraId="75F0DAD9">
      <w:pPr>
        <w:spacing w:before="0" w:after="80"/>
        <w:jc w:val="both"/>
      </w:pPr>
      <w:r>
        <w:rPr>
          <w:color w:val="1A1A2E"/>
          <w:sz w:val="20"/>
        </w:rPr>
        <w:t>Quand les solutions SIG restent au bureau, Prospera va sur le terrain. Quand les CRM internationaux ignorent le Mobile Money et le mode offline, Prospera en fait ses piliers. C’est notre avantage compétitif  et le vôtre.</w:t>
      </w:r>
    </w:p>
    <w:p w14:paraId="4955EAB2"/>
    <w:p w14:paraId="6CDB76C7">
      <w:pPr>
        <w:spacing w:before="160" w:after="60"/>
      </w:pPr>
      <w:r>
        <w:rPr>
          <w:b/>
          <w:color w:val="1A2E4A"/>
          <w:sz w:val="24"/>
        </w:rPr>
        <w:t>Nos 7 différenciateurs pour la microfinance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236"/>
      </w:tblGrid>
      <w:tr w14:paraId="01BA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A2E4A"/>
            <w:vAlign w:val="center"/>
          </w:tcPr>
          <w:p w14:paraId="18D85F05">
            <w:pPr>
              <w:spacing w:before="60" w:after="60" w:line="240" w:lineRule="auto"/>
              <w:jc w:val="center"/>
            </w:pPr>
            <w:r>
              <w:rPr>
                <w:b/>
                <w:color w:val="FFFFFF"/>
                <w:sz w:val="18"/>
              </w:rPr>
              <w:t>Différenciateur</w:t>
            </w:r>
          </w:p>
        </w:tc>
        <w:tc>
          <w:tcPr>
            <w:tcW w:w="6236" w:type="dxa"/>
            <w:shd w:val="clear" w:color="auto" w:fill="1A2E4A"/>
            <w:vAlign w:val="center"/>
          </w:tcPr>
          <w:p w14:paraId="3FD01E79">
            <w:pPr>
              <w:spacing w:before="60" w:after="60" w:line="240" w:lineRule="auto"/>
              <w:jc w:val="center"/>
            </w:pPr>
            <w:r>
              <w:rPr>
                <w:b/>
                <w:color w:val="FFFFFF"/>
                <w:sz w:val="18"/>
              </w:rPr>
              <w:t>Valeur pour votre IMF</w:t>
            </w:r>
          </w:p>
        </w:tc>
      </w:tr>
      <w:tr w14:paraId="61FE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1CCD516">
            <w:pPr>
              <w:spacing w:before="40" w:after="40" w:line="240" w:lineRule="auto"/>
            </w:pPr>
            <w:r>
              <w:rPr>
                <w:color w:val="1A1A2E"/>
                <w:sz w:val="18"/>
              </w:rPr>
              <w:t>AI-Native</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2AC4F00">
            <w:pPr>
              <w:spacing w:before="40" w:after="40" w:line="240" w:lineRule="auto"/>
            </w:pPr>
            <w:r>
              <w:rPr>
                <w:color w:val="1A1A2E"/>
                <w:sz w:val="18"/>
              </w:rPr>
              <w:t xml:space="preserve">Scoring prédictif des emprunteurs, détection précoce des défauts, </w:t>
            </w:r>
            <w:r>
              <w:rPr>
                <w:color w:val="1A1A2E"/>
                <w:sz w:val="18"/>
                <w:lang w:val="en-US"/>
              </w:rPr>
              <w:t>Prospera</w:t>
            </w:r>
            <w:r>
              <w:rPr>
                <w:color w:val="1A1A2E"/>
                <w:sz w:val="18"/>
              </w:rPr>
              <w:t>IA sur chaque écran</w:t>
            </w:r>
          </w:p>
        </w:tc>
      </w:tr>
      <w:tr w14:paraId="3933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3A48B3C8">
            <w:pPr>
              <w:spacing w:before="40" w:after="40" w:line="240" w:lineRule="auto"/>
            </w:pPr>
            <w:r>
              <w:rPr>
                <w:color w:val="1A1A2E"/>
                <w:sz w:val="18"/>
              </w:rPr>
              <w:t>Offline-First</w:t>
            </w:r>
          </w:p>
        </w:tc>
        <w:tc>
          <w:tcPr>
            <w:tcW w:w="623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51AA0735">
            <w:pPr>
              <w:spacing w:before="40" w:after="40" w:line="240" w:lineRule="auto"/>
            </w:pPr>
            <w:r>
              <w:rPr>
                <w:color w:val="1A1A2E"/>
                <w:sz w:val="18"/>
              </w:rPr>
              <w:t>Vos agents travaillent partout, y compris en zone rurale sans réseau, avec synchronisation automatique</w:t>
            </w:r>
          </w:p>
        </w:tc>
      </w:tr>
      <w:tr w14:paraId="75B4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F7505B9">
            <w:pPr>
              <w:spacing w:before="40" w:after="40" w:line="240" w:lineRule="auto"/>
            </w:pPr>
            <w:r>
              <w:rPr>
                <w:color w:val="1A1A2E"/>
                <w:sz w:val="18"/>
              </w:rPr>
              <w:t>WhatsApp-Centré</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5EBF9A42">
            <w:pPr>
              <w:spacing w:before="40" w:after="40" w:line="240" w:lineRule="auto"/>
            </w:pPr>
            <w:r>
              <w:rPr>
                <w:color w:val="1A1A2E"/>
                <w:sz w:val="18"/>
              </w:rPr>
              <w:t>Relances de remboursement automatisées sur le canal que vos clients utilisent déjà au quotidien</w:t>
            </w:r>
          </w:p>
        </w:tc>
      </w:tr>
      <w:tr w14:paraId="6DCB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22259A35">
            <w:pPr>
              <w:spacing w:before="40" w:after="40" w:line="240" w:lineRule="auto"/>
            </w:pPr>
            <w:r>
              <w:rPr>
                <w:color w:val="1A1A2E"/>
                <w:sz w:val="18"/>
              </w:rPr>
              <w:t>Mobile Money Intégré</w:t>
            </w:r>
          </w:p>
        </w:tc>
        <w:tc>
          <w:tcPr>
            <w:tcW w:w="623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11392D5D">
            <w:pPr>
              <w:spacing w:before="40" w:after="40" w:line="240" w:lineRule="auto"/>
            </w:pPr>
            <w:r>
              <w:rPr>
                <w:color w:val="1A1A2E"/>
                <w:sz w:val="18"/>
              </w:rPr>
              <w:t>Décaissements, collectes et facturation 100 % digitalisés, sans espèces, avec réconciliation automatique</w:t>
            </w:r>
          </w:p>
        </w:tc>
      </w:tr>
      <w:tr w14:paraId="3B08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250619B0">
            <w:pPr>
              <w:spacing w:before="40" w:after="40" w:line="240" w:lineRule="auto"/>
            </w:pPr>
            <w:r>
              <w:rPr>
                <w:color w:val="1A1A2E"/>
                <w:sz w:val="18"/>
              </w:rPr>
              <w:t>Conformité BCEAO</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1AE5AE1">
            <w:pPr>
              <w:spacing w:before="40" w:after="40" w:line="240" w:lineRule="auto"/>
            </w:pPr>
            <w:r>
              <w:rPr>
                <w:color w:val="1A1A2E"/>
                <w:sz w:val="18"/>
              </w:rPr>
              <w:t>Export PDF automatisé, SYSCOHADA intégré, 6 modules d’audit dédiés</w:t>
            </w:r>
          </w:p>
        </w:tc>
      </w:tr>
      <w:tr w14:paraId="42E8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3F81B90">
            <w:pPr>
              <w:spacing w:before="40" w:after="40" w:line="240" w:lineRule="auto"/>
            </w:pPr>
            <w:r>
              <w:rPr>
                <w:color w:val="1A1A2E"/>
                <w:sz w:val="18"/>
              </w:rPr>
              <w:t>10 Personas dédiés</w:t>
            </w:r>
          </w:p>
        </w:tc>
        <w:tc>
          <w:tcPr>
            <w:tcW w:w="6236" w:type="dxa"/>
            <w:tcBorders>
              <w:top w:val="single" w:color="C5CDD8" w:sz="2" w:space="0"/>
              <w:left w:val="single" w:color="C5CDD8" w:sz="2" w:space="0"/>
              <w:bottom w:val="single" w:color="C5CDD8" w:sz="2" w:space="0"/>
              <w:right w:val="single" w:color="C5CDD8" w:sz="2" w:space="0"/>
            </w:tcBorders>
            <w:shd w:val="clear" w:color="auto" w:fill="FFFFFF"/>
            <w:vAlign w:val="center"/>
          </w:tcPr>
          <w:p w14:paraId="0F3D006D">
            <w:pPr>
              <w:spacing w:before="40" w:after="40" w:line="240" w:lineRule="auto"/>
            </w:pPr>
            <w:r>
              <w:rPr>
                <w:color w:val="1A1A2E"/>
                <w:sz w:val="18"/>
              </w:rPr>
              <w:t>Chaque collaborateur dispose d’un tableau de bord calibré sur son rôle et ses KPIs</w:t>
            </w:r>
          </w:p>
        </w:tc>
      </w:tr>
      <w:tr w14:paraId="4E88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36B70960">
            <w:pPr>
              <w:spacing w:before="40" w:after="40" w:line="240" w:lineRule="auto"/>
            </w:pPr>
            <w:r>
              <w:rPr>
                <w:color w:val="1A1A2E"/>
                <w:sz w:val="18"/>
              </w:rPr>
              <w:t>Pipeline Crédit Kanban</w:t>
            </w:r>
          </w:p>
        </w:tc>
        <w:tc>
          <w:tcPr>
            <w:tcW w:w="6236" w:type="dxa"/>
            <w:tcBorders>
              <w:top w:val="single" w:color="C5CDD8" w:sz="2" w:space="0"/>
              <w:left w:val="single" w:color="C5CDD8" w:sz="2" w:space="0"/>
              <w:bottom w:val="single" w:color="C5CDD8" w:sz="2" w:space="0"/>
              <w:right w:val="single" w:color="C5CDD8" w:sz="2" w:space="0"/>
            </w:tcBorders>
            <w:shd w:val="clear" w:color="auto" w:fill="EEF2F7"/>
            <w:vAlign w:val="center"/>
          </w:tcPr>
          <w:p w14:paraId="04D0E4D5">
            <w:pPr>
              <w:spacing w:before="40" w:after="40" w:line="240" w:lineRule="auto"/>
            </w:pPr>
            <w:r>
              <w:rPr>
                <w:color w:val="1A1A2E"/>
                <w:sz w:val="18"/>
              </w:rPr>
              <w:t>Workflow complet de la prospection à la clôture, avec validation comité et rapports IA</w:t>
            </w:r>
          </w:p>
        </w:tc>
      </w:tr>
    </w:tbl>
    <w:p w14:paraId="063F2E1A"/>
    <w:p w14:paraId="7133F363"/>
    <w:p w14:paraId="21F961C5">
      <w:pPr>
        <w:pBdr>
          <w:top w:val="single" w:color="D4AF37" w:sz="12" w:space="4"/>
          <w:left w:val="single" w:color="D4AF37" w:sz="12" w:space="4"/>
          <w:bottom w:val="single" w:color="D4AF37" w:sz="12" w:space="4"/>
          <w:right w:val="single" w:color="D4AF37" w:sz="12" w:space="4"/>
        </w:pBdr>
        <w:spacing w:before="120" w:after="120"/>
        <w:jc w:val="center"/>
      </w:pPr>
      <w:r>
        <w:rPr>
          <w:b/>
          <w:color w:val="1A2E4A"/>
          <w:sz w:val="26"/>
        </w:rPr>
        <w:t>Prêt à transformer votre microfinance ?</w:t>
      </w:r>
      <w:r>
        <w:rPr>
          <w:b/>
          <w:color w:val="1A2E4A"/>
          <w:sz w:val="26"/>
        </w:rPr>
        <w:br w:type="textWrapping"/>
      </w:r>
      <w:r>
        <w:rPr>
          <w:color w:val="1A1A2E"/>
          <w:sz w:val="20"/>
        </w:rPr>
        <w:t>Contactez-nous pour une démonstration personnalisée et découvrez comment Prospera peut réduire votre PAR, augmenter la productivité de vos agents et digitaliser vos opérations terrain.</w:t>
      </w:r>
    </w:p>
    <w:p w14:paraId="6D564F03"/>
    <w:p w14:paraId="155CAE56">
      <w:pPr>
        <w:jc w:val="center"/>
      </w:pPr>
      <w:r>
        <w:rPr>
          <w:b/>
          <w:i/>
          <w:color w:val="D4AF37"/>
          <w:sz w:val="24"/>
        </w:rPr>
        <w:t>Prospera — Piloter votre IMF. Avec intelligence.</w:t>
      </w:r>
    </w:p>
    <w:sectPr>
      <w:pgSz w:w="12240" w:h="15840"/>
      <w:pgMar w:top="1411" w:right="1411" w:bottom="1411"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A4FC0">
    <w:pPr>
      <w:pStyle w:val="24"/>
      <w:jc w:val="center"/>
    </w:pPr>
    <w:r>
      <w:rPr>
        <w:color w:val="888899"/>
        <w:sz w:val="14"/>
      </w:rPr>
      <w:t>Responsable : BARRY Thierno Alhassane  |  N°RCCM: TG-LFW-01-2026-B16-00009  |  NIF: 1002112490  |  N°CFE: 02806PM2026/2026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20617">
    <w:pPr>
      <w:pStyle w:val="26"/>
      <w:pBdr>
        <w:bottom w:val="single" w:color="1A2E4A" w:sz="4" w:space="1"/>
      </w:pBdr>
    </w:pPr>
    <w:r>
      <w:rPr>
        <w:i/>
        <w:color w:val="1A2E4A"/>
        <w:sz w:val="16"/>
      </w:rPr>
      <w:t xml:space="preserve">Prospera —  Microfinance   |   Document confidentiel     </w:t>
    </w:r>
    <w:r>
      <w:rPr>
        <w:b/>
        <w:color w:val="D4AF37"/>
        <w:sz w:val="16"/>
      </w:rPr>
      <w:t>Prospera — Plateforme de Pilotage Microfinance AI-Native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665716"/>
    <w:rsid w:val="50CE5DCF"/>
    <w:rsid w:val="72D229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663</Words>
  <Characters>3809</Characters>
  <Lines>0</Lines>
  <Paragraphs>0</Paragraphs>
  <TotalTime>17</TotalTime>
  <ScaleCrop>false</ScaleCrop>
  <LinksUpToDate>false</LinksUpToDate>
  <CharactersWithSpaces>4429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google1587134755</cp:lastModifiedBy>
  <dcterms:modified xsi:type="dcterms:W3CDTF">2026-06-09T14:46:20Z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eyJoZGlkIjoiY2IxYzExODMyNmRkMDhjNTVkOTA0YzE4OWM1OTgwOGMiLCJ1c2VySWQiOiIxNjY2NTkyNjU5MTY4In0=</vt:lpwstr>
  </property>
  <property fmtid="{D5CDD505-2E9C-101B-9397-08002B2CF9AE}" pid="3" name="KSOProductBuildVer">
    <vt:lpwstr>1036-12.1.0.26880</vt:lpwstr>
  </property>
  <property fmtid="{D5CDD505-2E9C-101B-9397-08002B2CF9AE}" pid="4" name="ICV">
    <vt:lpwstr>05C85D67D04A4C3EA061F0764CA6CDDD_12</vt:lpwstr>
  </property>
</Properties>
</file>