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08A5C"/>
          <w:sz w:val="72"/>
        </w:rPr>
        <w:t>PROSPERA</w:t>
      </w:r>
    </w:p>
    <w:p>
      <w:pPr>
        <w:jc w:val="center"/>
      </w:pPr>
      <w:r>
        <w:rPr>
          <w:color w:val="1F2D3D"/>
          <w:sz w:val="32"/>
        </w:rPr>
        <w:t>Solution de Pilotage Commercial AI-Native</w:t>
      </w:r>
    </w:p>
    <w:p/>
    <w:p>
      <w:pPr>
        <w:jc w:val="center"/>
      </w:pPr>
      <w:r>
        <w:rPr>
          <w:b/>
          <w:color w:val="0D6E48"/>
          <w:sz w:val="36"/>
        </w:rPr>
        <w:t>Cartographie des Modules &amp; Intelligence Artificielle</w:t>
      </w:r>
    </w:p>
    <w:p/>
    <w:p>
      <w:pPr>
        <w:jc w:val="center"/>
      </w:pPr>
      <w:r>
        <w:rPr>
          <w:color w:val="1F2D3D"/>
          <w:sz w:val="22"/>
        </w:rPr>
        <w:t>Version 2.0  —  Juin 2026</w:t>
      </w:r>
    </w:p>
    <w:p>
      <w:pPr>
        <w:jc w:val="center"/>
      </w:pPr>
      <w:r>
        <w:rPr>
          <w:i/>
          <w:color w:val="889988"/>
          <w:sz w:val="20"/>
        </w:rPr>
        <w:t>Document confidentiel</w:t>
      </w:r>
    </w:p>
    <w:p>
      <w:r>
        <w:br w:type="page"/>
      </w:r>
    </w:p>
    <w:p>
      <w:pPr>
        <w:spacing w:before="280" w:after="120"/>
      </w:pPr>
      <w:r>
        <w:rPr>
          <w:b/>
          <w:color w:val="108A5C"/>
          <w:sz w:val="26"/>
        </w:rPr>
        <w:t>TABLEAU 1 — Modules, Sous-modules &amp; Intelligence Artificielle</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454"/>
            <w:shd w:val="clear" w:color="auto" w:fill="0D6E48"/>
            <w:vAlign w:val="center"/>
          </w:tcPr>
          <w:p>
            <w:pPr>
              <w:spacing w:before="40" w:after="40"/>
              <w:jc w:val="center"/>
            </w:pPr>
            <w:r>
              <w:rPr>
                <w:b/>
                <w:color w:val="FFFFFF"/>
                <w:sz w:val="18"/>
              </w:rPr>
              <w:t>#</w:t>
            </w:r>
          </w:p>
        </w:tc>
        <w:tc>
          <w:tcPr>
            <w:tcW w:type="dxa" w:w="1984"/>
            <w:shd w:val="clear" w:color="auto" w:fill="0D6E48"/>
            <w:vAlign w:val="center"/>
          </w:tcPr>
          <w:p>
            <w:pPr>
              <w:spacing w:before="40" w:after="40"/>
              <w:jc w:val="center"/>
            </w:pPr>
            <w:r>
              <w:rPr>
                <w:b/>
                <w:color w:val="FFFFFF"/>
                <w:sz w:val="18"/>
              </w:rPr>
              <w:t>Module</w:t>
            </w:r>
          </w:p>
        </w:tc>
        <w:tc>
          <w:tcPr>
            <w:tcW w:type="dxa" w:w="4819"/>
            <w:shd w:val="clear" w:color="auto" w:fill="0D6E48"/>
            <w:vAlign w:val="center"/>
          </w:tcPr>
          <w:p>
            <w:pPr>
              <w:spacing w:before="40" w:after="40"/>
              <w:jc w:val="center"/>
            </w:pPr>
            <w:r>
              <w:rPr>
                <w:b/>
                <w:color w:val="FFFFFF"/>
                <w:sz w:val="18"/>
              </w:rPr>
              <w:t>Sous-modules développés</w:t>
            </w:r>
          </w:p>
        </w:tc>
        <w:tc>
          <w:tcPr>
            <w:tcW w:type="dxa" w:w="4819"/>
            <w:shd w:val="clear" w:color="auto" w:fill="0D6E48"/>
            <w:vAlign w:val="center"/>
          </w:tcPr>
          <w:p>
            <w:pPr>
              <w:spacing w:before="40" w:after="40"/>
              <w:jc w:val="center"/>
            </w:pPr>
            <w:r>
              <w:rPr>
                <w:b/>
                <w:color w:val="FFFFFF"/>
                <w:sz w:val="18"/>
              </w:rPr>
              <w:t>IAs impliquées</w:t>
            </w:r>
          </w:p>
        </w:tc>
        <w:tc>
          <w:tcPr>
            <w:tcW w:type="dxa" w:w="1984"/>
            <w:shd w:val="clear" w:color="auto" w:fill="0D6E48"/>
            <w:vAlign w:val="center"/>
          </w:tcPr>
          <w:p>
            <w:pPr>
              <w:spacing w:before="40" w:after="40"/>
              <w:jc w:val="center"/>
            </w:pPr>
            <w:r>
              <w:rPr>
                <w:b/>
                <w:color w:val="FFFFFF"/>
                <w:sz w:val="18"/>
              </w:rPr>
              <w:t>Gain estimé</w:t>
            </w:r>
          </w:p>
        </w:tc>
      </w:tr>
      <w:tr>
        <w:tc>
          <w:tcPr>
            <w:tcW w:type="dxa" w:w="2960"/>
            <w:shd w:val="clear" w:color="auto" w:fill="E8F5EE"/>
            <w:vAlign w:val="center"/>
          </w:tcPr>
          <w:p>
            <w:pPr>
              <w:spacing w:before="40" w:after="40"/>
              <w:jc w:val="center"/>
            </w:pPr>
            <w:r>
              <w:rPr>
                <w:b/>
                <w:color w:val="108A5C"/>
                <w:sz w:val="20"/>
              </w:rPr>
              <w:t>1</w:t>
            </w:r>
          </w:p>
        </w:tc>
        <w:tc>
          <w:tcPr>
            <w:tcW w:type="dxa" w:w="2960"/>
            <w:shd w:val="clear" w:color="auto" w:fill="F4F7F5"/>
          </w:tcPr>
          <w:p>
            <w:pPr>
              <w:spacing w:before="40" w:after="40"/>
              <w:jc w:val="left"/>
            </w:pPr>
            <w:r>
              <w:rPr>
                <w:b/>
                <w:color w:val="0D6E48"/>
                <w:sz w:val="18"/>
              </w:rPr>
              <w:t>Dashboard &amp; Pilotage</w:t>
            </w:r>
          </w:p>
        </w:tc>
        <w:tc>
          <w:tcPr>
            <w:tcW w:type="dxa" w:w="2960"/>
            <w:shd w:val="clear" w:color="auto" w:fill="F4F7F5"/>
          </w:tcPr>
          <w:p>
            <w:pPr>
              <w:spacing w:before="20" w:after="20"/>
            </w:pPr>
            <w:r>
              <w:rPr>
                <w:color w:val="1F2D3D"/>
                <w:sz w:val="17"/>
              </w:rPr>
              <w:t>• Dashboard DG / Manager (multi-agences)</w:t>
            </w:r>
          </w:p>
          <w:p>
            <w:pPr>
              <w:spacing w:before="20" w:after="20"/>
            </w:pPr>
            <w:r>
              <w:rPr>
                <w:color w:val="1F2D3D"/>
                <w:sz w:val="17"/>
              </w:rPr>
              <w:t>• Dashboard Responsable Agence (RA)</w:t>
            </w:r>
          </w:p>
          <w:p>
            <w:pPr>
              <w:spacing w:before="20" w:after="20"/>
            </w:pPr>
            <w:r>
              <w:rPr>
                <w:color w:val="1F2D3D"/>
                <w:sz w:val="17"/>
              </w:rPr>
              <w:t>• Dashboard Chargé de Crédit (CC)</w:t>
            </w:r>
          </w:p>
          <w:p>
            <w:pPr>
              <w:spacing w:before="20" w:after="20"/>
            </w:pPr>
            <w:r>
              <w:rPr>
                <w:color w:val="1F2D3D"/>
                <w:sz w:val="17"/>
              </w:rPr>
              <w:t>• Dashboard Terrain (Agent GP / Collectrice)</w:t>
            </w:r>
          </w:p>
          <w:p>
            <w:pPr>
              <w:spacing w:before="20" w:after="20"/>
            </w:pPr>
            <w:r>
              <w:rPr>
                <w:color w:val="1F2D3D"/>
                <w:sz w:val="17"/>
              </w:rPr>
              <w:t>• Dashboard Commercial (RCC / DC)</w:t>
            </w:r>
          </w:p>
          <w:p>
            <w:pPr>
              <w:spacing w:before="20" w:after="20"/>
            </w:pPr>
            <w:r>
              <w:rPr>
                <w:color w:val="1F2D3D"/>
                <w:sz w:val="17"/>
              </w:rPr>
              <w:t>• Dashboard Finances (DAF)</w:t>
            </w:r>
          </w:p>
          <w:p>
            <w:pPr>
              <w:spacing w:before="20" w:after="20"/>
            </w:pPr>
            <w:r>
              <w:rPr>
                <w:color w:val="1F2D3D"/>
                <w:sz w:val="17"/>
              </w:rPr>
              <w:t>• Dashboard Auditeur &amp; ROC</w:t>
            </w:r>
          </w:p>
          <w:p>
            <w:pPr>
              <w:spacing w:before="20" w:after="20"/>
            </w:pPr>
            <w:r>
              <w:rPr>
                <w:color w:val="1F2D3D"/>
                <w:sz w:val="17"/>
              </w:rPr>
              <w:t>• Dashboard Marketing</w:t>
            </w:r>
          </w:p>
          <w:p>
            <w:pPr>
              <w:spacing w:before="20" w:after="20"/>
            </w:pPr>
            <w:r>
              <w:rPr>
                <w:color w:val="1F2D3D"/>
                <w:sz w:val="17"/>
              </w:rPr>
              <w:t>• Tableau secteur / sous-secteur (drill-down)</w:t>
            </w:r>
          </w:p>
        </w:tc>
        <w:tc>
          <w:tcPr>
            <w:tcW w:type="dxa" w:w="2960"/>
            <w:shd w:val="clear" w:color="auto" w:fill="F4F7F5"/>
          </w:tcPr>
          <w:p>
            <w:pPr>
              <w:spacing w:before="20" w:after="20"/>
            </w:pPr>
            <w:r>
              <w:rPr>
                <w:color w:val="1F2D3D"/>
                <w:sz w:val="17"/>
              </w:rPr>
              <w:t>• Copilot IA : Q&amp;R contextuels par rôle</w:t>
            </w:r>
          </w:p>
          <w:p>
            <w:pPr>
              <w:spacing w:before="20" w:after="20"/>
            </w:pPr>
            <w:r>
              <w:rPr>
                <w:color w:val="1F2D3D"/>
                <w:sz w:val="17"/>
              </w:rPr>
              <w:t>• Alertes IA : priorités du jour automatiques</w:t>
            </w:r>
          </w:p>
          <w:p>
            <w:pPr>
              <w:spacing w:before="20" w:after="20"/>
            </w:pPr>
            <w:r>
              <w:rPr>
                <w:color w:val="1F2D3D"/>
                <w:sz w:val="17"/>
              </w:rPr>
              <w:t>• Analyse comportement agences IA</w:t>
            </w:r>
          </w:p>
          <w:p>
            <w:pPr>
              <w:spacing w:before="20" w:after="20"/>
            </w:pPr>
            <w:r>
              <w:rPr>
                <w:color w:val="1F2D3D"/>
                <w:sz w:val="17"/>
              </w:rPr>
              <w:t>• Prévision PAR : tendance + forecast</w:t>
            </w:r>
          </w:p>
          <w:p>
            <w:pPr>
              <w:spacing w:before="20" w:after="20"/>
            </w:pPr>
            <w:r>
              <w:rPr>
                <w:color w:val="1F2D3D"/>
                <w:sz w:val="17"/>
              </w:rPr>
              <w:t>• Synthèse IA globale (rapport DG)</w:t>
            </w:r>
          </w:p>
        </w:tc>
        <w:tc>
          <w:tcPr>
            <w:tcW w:type="dxa" w:w="2960"/>
            <w:shd w:val="clear" w:color="auto" w:fill="E8F5EE"/>
          </w:tcPr>
          <w:p>
            <w:pPr>
              <w:jc w:val="center"/>
            </w:pPr>
            <w:r>
              <w:rPr>
                <w:b/>
                <w:color w:val="0D6E48"/>
                <w:sz w:val="17"/>
              </w:rPr>
              <w:t>-3 h / jour</w:t>
              <w:br/>
              <w:t>par manager</w:t>
            </w:r>
          </w:p>
        </w:tc>
      </w:tr>
      <w:tr>
        <w:tc>
          <w:tcPr>
            <w:tcW w:type="dxa" w:w="2960"/>
            <w:shd w:val="clear" w:color="auto" w:fill="E8F5EE"/>
            <w:vAlign w:val="center"/>
          </w:tcPr>
          <w:p>
            <w:pPr>
              <w:spacing w:before="40" w:after="40"/>
              <w:jc w:val="center"/>
            </w:pPr>
            <w:r>
              <w:rPr>
                <w:b/>
                <w:color w:val="108A5C"/>
                <w:sz w:val="20"/>
              </w:rPr>
              <w:t>2</w:t>
            </w:r>
          </w:p>
        </w:tc>
        <w:tc>
          <w:tcPr>
            <w:tcW w:type="dxa" w:w="2960"/>
            <w:shd w:val="clear" w:color="auto" w:fill="FFFFFF"/>
          </w:tcPr>
          <w:p>
            <w:pPr>
              <w:spacing w:before="40" w:after="40"/>
              <w:jc w:val="left"/>
            </w:pPr>
            <w:r>
              <w:rPr>
                <w:b/>
                <w:color w:val="0D6E48"/>
                <w:sz w:val="18"/>
              </w:rPr>
              <w:t>CRM Clients / Emprunteurs</w:t>
            </w:r>
          </w:p>
        </w:tc>
        <w:tc>
          <w:tcPr>
            <w:tcW w:type="dxa" w:w="2960"/>
            <w:shd w:val="clear" w:color="auto" w:fill="FFFFFF"/>
          </w:tcPr>
          <w:p>
            <w:pPr>
              <w:spacing w:before="20" w:after="20"/>
            </w:pPr>
            <w:r>
              <w:rPr>
                <w:color w:val="1F2D3D"/>
                <w:sz w:val="17"/>
              </w:rPr>
              <w:t>• Fiche client microfinance enrichie (360°)</w:t>
            </w:r>
          </w:p>
          <w:p>
            <w:pPr>
              <w:spacing w:before="20" w:after="20"/>
            </w:pPr>
            <w:r>
              <w:rPr>
                <w:color w:val="1F2D3D"/>
                <w:sz w:val="17"/>
              </w:rPr>
              <w:t>• Liste emprunteurs avec filtres avancés</w:t>
            </w:r>
          </w:p>
          <w:p>
            <w:pPr>
              <w:spacing w:before="20" w:after="20"/>
            </w:pPr>
            <w:r>
              <w:rPr>
                <w:color w:val="1F2D3D"/>
                <w:sz w:val="17"/>
              </w:rPr>
              <w:t>• Profil KYC (Know Your Customer)</w:t>
            </w:r>
          </w:p>
          <w:p>
            <w:pPr>
              <w:spacing w:before="20" w:after="20"/>
            </w:pPr>
            <w:r>
              <w:rPr>
                <w:color w:val="1F2D3D"/>
                <w:sz w:val="17"/>
              </w:rPr>
              <w:t>• Gestion des groupes solidaires</w:t>
            </w:r>
          </w:p>
          <w:p>
            <w:pPr>
              <w:spacing w:before="20" w:after="20"/>
            </w:pPr>
            <w:r>
              <w:rPr>
                <w:color w:val="1F2D3D"/>
                <w:sz w:val="17"/>
              </w:rPr>
              <w:t>• Historique crédit multi-produits</w:t>
            </w:r>
          </w:p>
          <w:p>
            <w:pPr>
              <w:spacing w:before="20" w:after="20"/>
            </w:pPr>
            <w:r>
              <w:rPr>
                <w:color w:val="1F2D3D"/>
                <w:sz w:val="17"/>
              </w:rPr>
              <w:t>• Score risque client affiché</w:t>
            </w:r>
          </w:p>
          <w:p>
            <w:pPr>
              <w:spacing w:before="20" w:after="20"/>
            </w:pPr>
            <w:r>
              <w:rPr>
                <w:color w:val="1F2D3D"/>
                <w:sz w:val="17"/>
              </w:rPr>
              <w:t>• Vue portefeuille GP</w:t>
            </w:r>
          </w:p>
          <w:p>
            <w:pPr>
              <w:spacing w:before="20" w:after="20"/>
            </w:pPr>
            <w:r>
              <w:rPr>
                <w:color w:val="1F2D3D"/>
                <w:sz w:val="17"/>
              </w:rPr>
              <w:t>• Carte couverture IA (zones clients)</w:t>
            </w:r>
          </w:p>
        </w:tc>
        <w:tc>
          <w:tcPr>
            <w:tcW w:type="dxa" w:w="2960"/>
            <w:shd w:val="clear" w:color="auto" w:fill="FFFFFF"/>
          </w:tcPr>
          <w:p>
            <w:pPr>
              <w:spacing w:before="20" w:after="20"/>
            </w:pPr>
            <w:r>
              <w:rPr>
                <w:color w:val="1F2D3D"/>
                <w:sz w:val="17"/>
              </w:rPr>
              <w:t>• Score IA dynamique (0–100) par client</w:t>
            </w:r>
          </w:p>
          <w:p>
            <w:pPr>
              <w:spacing w:before="20" w:after="20"/>
            </w:pPr>
            <w:r>
              <w:rPr>
                <w:color w:val="1F2D3D"/>
                <w:sz w:val="17"/>
              </w:rPr>
              <w:t>• Classe BCEAO calculée automatiquement</w:t>
            </w:r>
          </w:p>
          <w:p>
            <w:pPr>
              <w:spacing w:before="20" w:after="20"/>
            </w:pPr>
            <w:r>
              <w:rPr>
                <w:color w:val="1F2D3D"/>
                <w:sz w:val="17"/>
              </w:rPr>
              <w:t>• Probabilité de Défaut (PD) en temps réel</w:t>
            </w:r>
          </w:p>
          <w:p>
            <w:pPr>
              <w:spacing w:before="20" w:after="20"/>
            </w:pPr>
            <w:r>
              <w:rPr>
                <w:color w:val="1F2D3D"/>
                <w:sz w:val="17"/>
              </w:rPr>
              <w:t>• Alertes signaux faibles client</w:t>
            </w:r>
          </w:p>
          <w:p>
            <w:pPr>
              <w:spacing w:before="20" w:after="20"/>
            </w:pPr>
            <w:r>
              <w:rPr>
                <w:color w:val="1F2D3D"/>
                <w:sz w:val="17"/>
              </w:rPr>
              <w:t>• Carte couverture : zones à risque identifiées</w:t>
            </w:r>
          </w:p>
        </w:tc>
        <w:tc>
          <w:tcPr>
            <w:tcW w:type="dxa" w:w="2960"/>
            <w:shd w:val="clear" w:color="auto" w:fill="E8F5EE"/>
          </w:tcPr>
          <w:p>
            <w:pPr>
              <w:jc w:val="center"/>
            </w:pPr>
            <w:r>
              <w:rPr>
                <w:b/>
                <w:color w:val="0D6E48"/>
                <w:sz w:val="17"/>
              </w:rPr>
              <w:t>-45 min / dossier</w:t>
              <w:br/>
              <w:t>évaluation risque</w:t>
            </w:r>
          </w:p>
        </w:tc>
      </w:tr>
      <w:tr>
        <w:tc>
          <w:tcPr>
            <w:tcW w:type="dxa" w:w="2960"/>
            <w:shd w:val="clear" w:color="auto" w:fill="E8F5EE"/>
            <w:vAlign w:val="center"/>
          </w:tcPr>
          <w:p>
            <w:pPr>
              <w:spacing w:before="40" w:after="40"/>
              <w:jc w:val="center"/>
            </w:pPr>
            <w:r>
              <w:rPr>
                <w:b/>
                <w:color w:val="108A5C"/>
                <w:sz w:val="20"/>
              </w:rPr>
              <w:t>3</w:t>
            </w:r>
          </w:p>
        </w:tc>
        <w:tc>
          <w:tcPr>
            <w:tcW w:type="dxa" w:w="2960"/>
            <w:shd w:val="clear" w:color="auto" w:fill="F4F7F5"/>
          </w:tcPr>
          <w:p>
            <w:pPr>
              <w:spacing w:before="40" w:after="40"/>
              <w:jc w:val="left"/>
            </w:pPr>
            <w:r>
              <w:rPr>
                <w:b/>
                <w:color w:val="0D6E48"/>
                <w:sz w:val="18"/>
              </w:rPr>
              <w:t>Crédit (Pipeline &amp; Dossiers)</w:t>
            </w:r>
          </w:p>
        </w:tc>
        <w:tc>
          <w:tcPr>
            <w:tcW w:type="dxa" w:w="2960"/>
            <w:shd w:val="clear" w:color="auto" w:fill="F4F7F5"/>
          </w:tcPr>
          <w:p>
            <w:pPr>
              <w:spacing w:before="20" w:after="20"/>
            </w:pPr>
            <w:r>
              <w:rPr>
                <w:color w:val="1F2D3D"/>
                <w:sz w:val="17"/>
              </w:rPr>
              <w:t>• Pipeline Kanban crédit (7 étapes visuelles)</w:t>
            </w:r>
          </w:p>
          <w:p>
            <w:pPr>
              <w:spacing w:before="20" w:after="20"/>
            </w:pPr>
            <w:r>
              <w:rPr>
                <w:color w:val="1F2D3D"/>
                <w:sz w:val="17"/>
              </w:rPr>
              <w:t>• Fiche dossier crédit complète</w:t>
            </w:r>
          </w:p>
          <w:p>
            <w:pPr>
              <w:spacing w:before="20" w:after="20"/>
            </w:pPr>
            <w:r>
              <w:rPr>
                <w:color w:val="1F2D3D"/>
                <w:sz w:val="17"/>
              </w:rPr>
              <w:t>• Analyse chargé de crédit (CC)</w:t>
            </w:r>
          </w:p>
          <w:p>
            <w:pPr>
              <w:spacing w:before="20" w:after="20"/>
            </w:pPr>
            <w:r>
              <w:rPr>
                <w:color w:val="1F2D3D"/>
                <w:sz w:val="17"/>
              </w:rPr>
              <w:t>• Cycle crédit (Prospection → Clôture)</w:t>
            </w:r>
          </w:p>
          <w:p>
            <w:pPr>
              <w:spacing w:before="20" w:after="20"/>
            </w:pPr>
            <w:r>
              <w:rPr>
                <w:color w:val="1F2D3D"/>
                <w:sz w:val="17"/>
              </w:rPr>
              <w:t>• Scoring CBI (Credit Bureau Investigation)</w:t>
            </w:r>
          </w:p>
          <w:p>
            <w:pPr>
              <w:spacing w:before="20" w:after="20"/>
            </w:pPr>
            <w:r>
              <w:rPr>
                <w:color w:val="1F2D3D"/>
                <w:sz w:val="17"/>
              </w:rPr>
              <w:t>• Rapport ROC par dossier</w:t>
            </w:r>
          </w:p>
          <w:p>
            <w:pPr>
              <w:spacing w:before="20" w:after="20"/>
            </w:pPr>
            <w:r>
              <w:rPr>
                <w:color w:val="1F2D3D"/>
                <w:sz w:val="17"/>
              </w:rPr>
              <w:t>• Dossiers mauvais payeurs</w:t>
            </w:r>
          </w:p>
          <w:p>
            <w:pPr>
              <w:spacing w:before="20" w:after="20"/>
            </w:pPr>
            <w:r>
              <w:rPr>
                <w:color w:val="1F2D3D"/>
                <w:sz w:val="17"/>
              </w:rPr>
              <w:t>• Panel instruction CC</w:t>
            </w:r>
          </w:p>
        </w:tc>
        <w:tc>
          <w:tcPr>
            <w:tcW w:type="dxa" w:w="2960"/>
            <w:shd w:val="clear" w:color="auto" w:fill="F4F7F5"/>
          </w:tcPr>
          <w:p>
            <w:pPr>
              <w:spacing w:before="20" w:after="20"/>
            </w:pPr>
            <w:r>
              <w:rPr>
                <w:color w:val="1F2D3D"/>
                <w:sz w:val="17"/>
              </w:rPr>
              <w:t>• Scoring IA dossier : score consolidé 0–100</w:t>
            </w:r>
          </w:p>
          <w:p>
            <w:pPr>
              <w:spacing w:before="20" w:after="20"/>
            </w:pPr>
            <w:r>
              <w:rPr>
                <w:color w:val="1F2D3D"/>
                <w:sz w:val="17"/>
              </w:rPr>
              <w:t>• Décision suggérée : APPROUVER / REFUSER / RÉDUIRE</w:t>
            </w:r>
          </w:p>
          <w:p>
            <w:pPr>
              <w:spacing w:before="20" w:after="20"/>
            </w:pPr>
            <w:r>
              <w:rPr>
                <w:color w:val="1F2D3D"/>
                <w:sz w:val="17"/>
              </w:rPr>
              <w:t>• Analyse Prospera IA narrative complète</w:t>
            </w:r>
          </w:p>
          <w:p>
            <w:pPr>
              <w:spacing w:before="20" w:after="20"/>
            </w:pPr>
            <w:r>
              <w:rPr>
                <w:color w:val="1F2D3D"/>
                <w:sz w:val="17"/>
              </w:rPr>
              <w:t>• Alertes actives (BCEAO, fraude, garanties)</w:t>
            </w:r>
          </w:p>
          <w:p>
            <w:pPr>
              <w:spacing w:before="20" w:after="20"/>
            </w:pPr>
            <w:r>
              <w:rPr>
                <w:color w:val="1F2D3D"/>
                <w:sz w:val="17"/>
              </w:rPr>
              <w:t>• CBI IA : vérification comportement crédit</w:t>
            </w:r>
          </w:p>
        </w:tc>
        <w:tc>
          <w:tcPr>
            <w:tcW w:type="dxa" w:w="2960"/>
            <w:shd w:val="clear" w:color="auto" w:fill="E8F5EE"/>
          </w:tcPr>
          <w:p>
            <w:pPr>
              <w:jc w:val="center"/>
            </w:pPr>
            <w:r>
              <w:rPr>
                <w:b/>
                <w:color w:val="0D6E48"/>
                <w:sz w:val="17"/>
              </w:rPr>
              <w:t>-2 h / dossier</w:t>
              <w:br/>
              <w:t>décisions 5× plus rapides</w:t>
            </w:r>
          </w:p>
        </w:tc>
      </w:tr>
      <w:tr>
        <w:tc>
          <w:tcPr>
            <w:tcW w:type="dxa" w:w="2960"/>
            <w:shd w:val="clear" w:color="auto" w:fill="E8F5EE"/>
            <w:vAlign w:val="center"/>
          </w:tcPr>
          <w:p>
            <w:pPr>
              <w:spacing w:before="40" w:after="40"/>
              <w:jc w:val="center"/>
            </w:pPr>
            <w:r>
              <w:rPr>
                <w:b/>
                <w:color w:val="108A5C"/>
                <w:sz w:val="20"/>
              </w:rPr>
              <w:t>4</w:t>
            </w:r>
          </w:p>
        </w:tc>
        <w:tc>
          <w:tcPr>
            <w:tcW w:type="dxa" w:w="2960"/>
            <w:shd w:val="clear" w:color="auto" w:fill="FFFFFF"/>
          </w:tcPr>
          <w:p>
            <w:pPr>
              <w:spacing w:before="40" w:after="40"/>
              <w:jc w:val="left"/>
            </w:pPr>
            <w:r>
              <w:rPr>
                <w:b/>
                <w:color w:val="0D6E48"/>
                <w:sz w:val="18"/>
              </w:rPr>
              <w:t>Recouvrement</w:t>
            </w:r>
          </w:p>
        </w:tc>
        <w:tc>
          <w:tcPr>
            <w:tcW w:type="dxa" w:w="2960"/>
            <w:shd w:val="clear" w:color="auto" w:fill="FFFFFF"/>
          </w:tcPr>
          <w:p>
            <w:pPr>
              <w:spacing w:before="20" w:after="20"/>
            </w:pPr>
            <w:r>
              <w:rPr>
                <w:color w:val="1F2D3D"/>
                <w:sz w:val="17"/>
              </w:rPr>
              <w:t>• Vue portefeuille dossiers en retard</w:t>
            </w:r>
          </w:p>
          <w:p>
            <w:pPr>
              <w:spacing w:before="20" w:after="20"/>
            </w:pPr>
            <w:r>
              <w:rPr>
                <w:color w:val="1F2D3D"/>
                <w:sz w:val="17"/>
              </w:rPr>
              <w:t>• Fiche agent et client en recouvrement</w:t>
            </w:r>
          </w:p>
          <w:p>
            <w:pPr>
              <w:spacing w:before="20" w:after="20"/>
            </w:pPr>
            <w:r>
              <w:rPr>
                <w:color w:val="1F2D3D"/>
                <w:sz w:val="17"/>
              </w:rPr>
              <w:t>• Dossiers bloqués (détail + actions)</w:t>
            </w:r>
          </w:p>
          <w:p>
            <w:pPr>
              <w:spacing w:before="20" w:after="20"/>
            </w:pPr>
            <w:r>
              <w:rPr>
                <w:color w:val="1F2D3D"/>
                <w:sz w:val="17"/>
              </w:rPr>
              <w:t>• Vue réseau recouvrement (ROC)</w:t>
            </w:r>
          </w:p>
          <w:p>
            <w:pPr>
              <w:spacing w:before="20" w:after="20"/>
            </w:pPr>
            <w:r>
              <w:rPr>
                <w:color w:val="1F2D3D"/>
                <w:sz w:val="17"/>
              </w:rPr>
              <w:t>• Calendrier recouvrement</w:t>
            </w:r>
          </w:p>
          <w:p>
            <w:pPr>
              <w:spacing w:before="20" w:after="20"/>
            </w:pPr>
            <w:r>
              <w:rPr>
                <w:color w:val="1F2D3D"/>
                <w:sz w:val="17"/>
              </w:rPr>
              <w:t>• Mauvais payeurs (liste + fiche détaillée)</w:t>
            </w:r>
          </w:p>
          <w:p>
            <w:pPr>
              <w:spacing w:before="20" w:after="20"/>
            </w:pPr>
            <w:r>
              <w:rPr>
                <w:color w:val="1F2D3D"/>
                <w:sz w:val="17"/>
              </w:rPr>
              <w:t>• Échanges remboursement (historique)</w:t>
            </w:r>
          </w:p>
          <w:p>
            <w:pPr>
              <w:spacing w:before="20" w:after="20"/>
            </w:pPr>
            <w:r>
              <w:rPr>
                <w:color w:val="1F2D3D"/>
                <w:sz w:val="17"/>
              </w:rPr>
              <w:t>• Score recouvrement IA</w:t>
            </w:r>
          </w:p>
        </w:tc>
        <w:tc>
          <w:tcPr>
            <w:tcW w:type="dxa" w:w="2960"/>
            <w:shd w:val="clear" w:color="auto" w:fill="FFFFFF"/>
          </w:tcPr>
          <w:p>
            <w:pPr>
              <w:spacing w:before="20" w:after="20"/>
            </w:pPr>
            <w:r>
              <w:rPr>
                <w:color w:val="1F2D3D"/>
                <w:sz w:val="17"/>
              </w:rPr>
              <w:t>• Score recouvrement IA : probabilité récupération</w:t>
            </w:r>
          </w:p>
          <w:p>
            <w:pPr>
              <w:spacing w:before="20" w:after="20"/>
            </w:pPr>
            <w:r>
              <w:rPr>
                <w:color w:val="1F2D3D"/>
                <w:sz w:val="17"/>
              </w:rPr>
              <w:t>• Stratégie IA personnalisée par agence</w:t>
            </w:r>
          </w:p>
          <w:p>
            <w:pPr>
              <w:spacing w:before="20" w:after="20"/>
            </w:pPr>
            <w:r>
              <w:rPr>
                <w:color w:val="1F2D3D"/>
                <w:sz w:val="17"/>
              </w:rPr>
              <w:t>• BlocAnalyse IA : cause comportementale du retard</w:t>
            </w:r>
          </w:p>
          <w:p>
            <w:pPr>
              <w:spacing w:before="20" w:after="20"/>
            </w:pPr>
            <w:r>
              <w:rPr>
                <w:color w:val="1F2D3D"/>
                <w:sz w:val="17"/>
              </w:rPr>
              <w:t>• Suggestions scripts de relance</w:t>
            </w:r>
          </w:p>
          <w:p>
            <w:pPr>
              <w:spacing w:before="20" w:after="20"/>
            </w:pPr>
            <w:r>
              <w:rPr>
                <w:color w:val="1F2D3D"/>
                <w:sz w:val="17"/>
              </w:rPr>
              <w:t>• Copilot recouvrement : conseils par rôle</w:t>
            </w:r>
          </w:p>
        </w:tc>
        <w:tc>
          <w:tcPr>
            <w:tcW w:type="dxa" w:w="2960"/>
            <w:shd w:val="clear" w:color="auto" w:fill="E8F5EE"/>
          </w:tcPr>
          <w:p>
            <w:pPr>
              <w:jc w:val="center"/>
            </w:pPr>
            <w:r>
              <w:rPr>
                <w:b/>
                <w:color w:val="0D6E48"/>
                <w:sz w:val="17"/>
              </w:rPr>
              <w:t>-60 % du temps</w:t>
              <w:br/>
              <w:t>de priorisation urgence</w:t>
            </w:r>
          </w:p>
        </w:tc>
      </w:tr>
      <w:tr>
        <w:tc>
          <w:tcPr>
            <w:tcW w:type="dxa" w:w="2960"/>
            <w:shd w:val="clear" w:color="auto" w:fill="E8F5EE"/>
            <w:vAlign w:val="center"/>
          </w:tcPr>
          <w:p>
            <w:pPr>
              <w:spacing w:before="40" w:after="40"/>
              <w:jc w:val="center"/>
            </w:pPr>
            <w:r>
              <w:rPr>
                <w:b/>
                <w:color w:val="108A5C"/>
                <w:sz w:val="20"/>
              </w:rPr>
              <w:t>5</w:t>
            </w:r>
          </w:p>
        </w:tc>
        <w:tc>
          <w:tcPr>
            <w:tcW w:type="dxa" w:w="2960"/>
            <w:shd w:val="clear" w:color="auto" w:fill="F4F7F5"/>
          </w:tcPr>
          <w:p>
            <w:pPr>
              <w:spacing w:before="40" w:after="40"/>
              <w:jc w:val="left"/>
            </w:pPr>
            <w:r>
              <w:rPr>
                <w:b/>
                <w:color w:val="0D6E48"/>
                <w:sz w:val="18"/>
              </w:rPr>
              <w:t>Terrain (Agents &amp; GPS)</w:t>
            </w:r>
          </w:p>
        </w:tc>
        <w:tc>
          <w:tcPr>
            <w:tcW w:type="dxa" w:w="2960"/>
            <w:shd w:val="clear" w:color="auto" w:fill="F4F7F5"/>
          </w:tcPr>
          <w:p>
            <w:pPr>
              <w:spacing w:before="20" w:after="20"/>
            </w:pPr>
            <w:r>
              <w:rPr>
                <w:color w:val="1F2D3D"/>
                <w:sz w:val="17"/>
              </w:rPr>
              <w:t>• Carte terrain temps réel (GPS)</w:t>
            </w:r>
          </w:p>
          <w:p>
            <w:pPr>
              <w:spacing w:before="20" w:after="20"/>
            </w:pPr>
            <w:r>
              <w:rPr>
                <w:color w:val="1F2D3D"/>
                <w:sz w:val="17"/>
              </w:rPr>
              <w:t>• Missions agents (planning + exécution)</w:t>
            </w:r>
          </w:p>
          <w:p>
            <w:pPr>
              <w:spacing w:before="20" w:after="20"/>
            </w:pPr>
            <w:r>
              <w:rPr>
                <w:color w:val="1F2D3D"/>
                <w:sz w:val="17"/>
              </w:rPr>
              <w:t>• Formulaire de visite client</w:t>
            </w:r>
          </w:p>
          <w:p>
            <w:pPr>
              <w:spacing w:before="20" w:after="20"/>
            </w:pPr>
            <w:r>
              <w:rPr>
                <w:color w:val="1F2D3D"/>
                <w:sz w:val="17"/>
              </w:rPr>
              <w:t>• Historique des visites</w:t>
            </w:r>
          </w:p>
          <w:p>
            <w:pPr>
              <w:spacing w:before="20" w:after="20"/>
            </w:pPr>
            <w:r>
              <w:rPr>
                <w:color w:val="1F2D3D"/>
                <w:sz w:val="17"/>
              </w:rPr>
              <w:t>• Mode Offline complet</w:t>
            </w:r>
          </w:p>
          <w:p>
            <w:pPr>
              <w:spacing w:before="20" w:after="20"/>
            </w:pPr>
            <w:r>
              <w:rPr>
                <w:color w:val="1F2D3D"/>
                <w:sz w:val="17"/>
              </w:rPr>
              <w:t>• Alerte proximité client en retard</w:t>
            </w:r>
          </w:p>
          <w:p>
            <w:pPr>
              <w:spacing w:before="20" w:after="20"/>
            </w:pPr>
            <w:r>
              <w:rPr>
                <w:color w:val="1F2D3D"/>
                <w:sz w:val="17"/>
              </w:rPr>
              <w:t>• Zones agents cartographiées</w:t>
            </w:r>
          </w:p>
        </w:tc>
        <w:tc>
          <w:tcPr>
            <w:tcW w:type="dxa" w:w="2960"/>
            <w:shd w:val="clear" w:color="auto" w:fill="F4F7F5"/>
          </w:tcPr>
          <w:p>
            <w:pPr>
              <w:spacing w:before="20" w:after="20"/>
            </w:pPr>
            <w:r>
              <w:rPr>
                <w:color w:val="1F2D3D"/>
                <w:sz w:val="17"/>
              </w:rPr>
              <w:t>• Optimisation tournées IA : ordre visite optimal</w:t>
            </w:r>
          </w:p>
          <w:p>
            <w:pPr>
              <w:spacing w:before="20" w:after="20"/>
            </w:pPr>
            <w:r>
              <w:rPr>
                <w:color w:val="1F2D3D"/>
                <w:sz w:val="17"/>
              </w:rPr>
              <w:t>• Voice-to-CRM : saisie vocale → données</w:t>
            </w:r>
          </w:p>
          <w:p>
            <w:pPr>
              <w:spacing w:before="20" w:after="20"/>
            </w:pPr>
            <w:r>
              <w:rPr>
                <w:color w:val="1F2D3D"/>
                <w:sz w:val="17"/>
              </w:rPr>
              <w:t>• Alerte proximité IA : clients en retard proches</w:t>
            </w:r>
          </w:p>
          <w:p>
            <w:pPr>
              <w:spacing w:before="20" w:after="20"/>
            </w:pPr>
            <w:r>
              <w:rPr>
                <w:color w:val="1F2D3D"/>
                <w:sz w:val="17"/>
              </w:rPr>
              <w:t>• Rapport soir automatique généré par IA</w:t>
            </w:r>
          </w:p>
          <w:p>
            <w:pPr>
              <w:spacing w:before="20" w:after="20"/>
            </w:pPr>
            <w:r>
              <w:rPr>
                <w:color w:val="1F2D3D"/>
                <w:sz w:val="17"/>
              </w:rPr>
              <w:t>• Zone map IA : couverture et gaps identifiés</w:t>
            </w:r>
          </w:p>
        </w:tc>
        <w:tc>
          <w:tcPr>
            <w:tcW w:type="dxa" w:w="2960"/>
            <w:shd w:val="clear" w:color="auto" w:fill="E8F5EE"/>
          </w:tcPr>
          <w:p>
            <w:pPr>
              <w:jc w:val="center"/>
            </w:pPr>
            <w:r>
              <w:rPr>
                <w:b/>
                <w:color w:val="0D6E48"/>
                <w:sz w:val="17"/>
              </w:rPr>
              <w:t>+35 % de visites/jour</w:t>
              <w:br/>
              <w:t>tournées optimisées</w:t>
            </w:r>
          </w:p>
        </w:tc>
      </w:tr>
      <w:tr>
        <w:tc>
          <w:tcPr>
            <w:tcW w:type="dxa" w:w="2960"/>
            <w:shd w:val="clear" w:color="auto" w:fill="E8F5EE"/>
            <w:vAlign w:val="center"/>
          </w:tcPr>
          <w:p>
            <w:pPr>
              <w:spacing w:before="40" w:after="40"/>
              <w:jc w:val="center"/>
            </w:pPr>
            <w:r>
              <w:rPr>
                <w:b/>
                <w:color w:val="108A5C"/>
                <w:sz w:val="20"/>
              </w:rPr>
              <w:t>6</w:t>
            </w:r>
          </w:p>
        </w:tc>
        <w:tc>
          <w:tcPr>
            <w:tcW w:type="dxa" w:w="2960"/>
            <w:shd w:val="clear" w:color="auto" w:fill="FFFFFF"/>
          </w:tcPr>
          <w:p>
            <w:pPr>
              <w:spacing w:before="40" w:after="40"/>
              <w:jc w:val="left"/>
            </w:pPr>
            <w:r>
              <w:rPr>
                <w:b/>
                <w:color w:val="0D6E48"/>
                <w:sz w:val="18"/>
              </w:rPr>
              <w:t>Relances Intelligentes</w:t>
            </w:r>
          </w:p>
        </w:tc>
        <w:tc>
          <w:tcPr>
            <w:tcW w:type="dxa" w:w="2960"/>
            <w:shd w:val="clear" w:color="auto" w:fill="FFFFFF"/>
          </w:tcPr>
          <w:p>
            <w:pPr>
              <w:spacing w:before="20" w:after="20"/>
            </w:pPr>
            <w:r>
              <w:rPr>
                <w:color w:val="1F2D3D"/>
                <w:sz w:val="17"/>
              </w:rPr>
              <w:t>• Vue relances (liste + statuts)</w:t>
            </w:r>
          </w:p>
          <w:p>
            <w:pPr>
              <w:spacing w:before="20" w:after="20"/>
            </w:pPr>
            <w:r>
              <w:rPr>
                <w:color w:val="1F2D3D"/>
                <w:sz w:val="17"/>
              </w:rPr>
              <w:t>• Calendrier comité de crédit (CC)</w:t>
            </w:r>
          </w:p>
          <w:p>
            <w:pPr>
              <w:spacing w:before="20" w:after="20"/>
            </w:pPr>
            <w:r>
              <w:rPr>
                <w:color w:val="1F2D3D"/>
                <w:sz w:val="17"/>
              </w:rPr>
              <w:t>• Calendrier recouvrement</w:t>
            </w:r>
          </w:p>
          <w:p>
            <w:pPr>
              <w:spacing w:before="20" w:after="20"/>
            </w:pPr>
            <w:r>
              <w:rPr>
                <w:color w:val="1F2D3D"/>
                <w:sz w:val="17"/>
              </w:rPr>
              <w:t>• Relances WhatsApp avec lien de paiement</w:t>
            </w:r>
          </w:p>
          <w:p>
            <w:pPr>
              <w:spacing w:before="20" w:after="20"/>
            </w:pPr>
            <w:r>
              <w:rPr>
                <w:color w:val="1F2D3D"/>
                <w:sz w:val="17"/>
              </w:rPr>
              <w:t>• Relances SMS automatiques</w:t>
            </w:r>
          </w:p>
          <w:p>
            <w:pPr>
              <w:spacing w:before="20" w:after="20"/>
            </w:pPr>
            <w:r>
              <w:rPr>
                <w:color w:val="1F2D3D"/>
                <w:sz w:val="17"/>
              </w:rPr>
              <w:t>• Escalade superviseur</w:t>
            </w:r>
          </w:p>
          <w:p>
            <w:pPr>
              <w:spacing w:before="20" w:after="20"/>
            </w:pPr>
            <w:r>
              <w:rPr>
                <w:color w:val="1F2D3D"/>
                <w:sz w:val="17"/>
              </w:rPr>
              <w:t>• Priorisation multi-canal</w:t>
            </w:r>
          </w:p>
        </w:tc>
        <w:tc>
          <w:tcPr>
            <w:tcW w:type="dxa" w:w="2960"/>
            <w:shd w:val="clear" w:color="auto" w:fill="FFFFFF"/>
          </w:tcPr>
          <w:p>
            <w:pPr>
              <w:spacing w:before="20" w:after="20"/>
            </w:pPr>
            <w:r>
              <w:rPr>
                <w:color w:val="1F2D3D"/>
                <w:sz w:val="17"/>
              </w:rPr>
              <w:t>• Déclenchement automatique selon profil retard</w:t>
            </w:r>
          </w:p>
          <w:p>
            <w:pPr>
              <w:spacing w:before="20" w:after="20"/>
            </w:pPr>
            <w:r>
              <w:rPr>
                <w:color w:val="1F2D3D"/>
                <w:sz w:val="17"/>
              </w:rPr>
              <w:t>• Priorisation IA : ordre de relance par risque</w:t>
            </w:r>
          </w:p>
          <w:p>
            <w:pPr>
              <w:spacing w:before="20" w:after="20"/>
            </w:pPr>
            <w:r>
              <w:rPr>
                <w:color w:val="1F2D3D"/>
                <w:sz w:val="17"/>
              </w:rPr>
              <w:t>• Multi-canal IA : WhatsApp / SMS / visite</w:t>
            </w:r>
          </w:p>
          <w:p>
            <w:pPr>
              <w:spacing w:before="20" w:after="20"/>
            </w:pPr>
            <w:r>
              <w:rPr>
                <w:color w:val="1F2D3D"/>
                <w:sz w:val="17"/>
              </w:rPr>
              <w:t>• Score relance : probabilité succès par canal</w:t>
            </w:r>
          </w:p>
          <w:p>
            <w:pPr>
              <w:spacing w:before="20" w:after="20"/>
            </w:pPr>
            <w:r>
              <w:rPr>
                <w:color w:val="1F2D3D"/>
                <w:sz w:val="17"/>
              </w:rPr>
              <w:t>• Messages pré-rédigés contextuels</w:t>
            </w:r>
          </w:p>
        </w:tc>
        <w:tc>
          <w:tcPr>
            <w:tcW w:type="dxa" w:w="2960"/>
            <w:shd w:val="clear" w:color="auto" w:fill="E8F5EE"/>
          </w:tcPr>
          <w:p>
            <w:pPr>
              <w:jc w:val="center"/>
            </w:pPr>
            <w:r>
              <w:rPr>
                <w:b/>
                <w:color w:val="0D6E48"/>
                <w:sz w:val="17"/>
              </w:rPr>
              <w:t>-80 % du temps</w:t>
              <w:br/>
              <w:t>de relance manuelle</w:t>
            </w:r>
          </w:p>
        </w:tc>
      </w:tr>
      <w:tr>
        <w:tc>
          <w:tcPr>
            <w:tcW w:type="dxa" w:w="2960"/>
            <w:shd w:val="clear" w:color="auto" w:fill="E8F5EE"/>
            <w:vAlign w:val="center"/>
          </w:tcPr>
          <w:p>
            <w:pPr>
              <w:spacing w:before="40" w:after="40"/>
              <w:jc w:val="center"/>
            </w:pPr>
            <w:r>
              <w:rPr>
                <w:b/>
                <w:color w:val="108A5C"/>
                <w:sz w:val="20"/>
              </w:rPr>
              <w:t>7</w:t>
            </w:r>
          </w:p>
        </w:tc>
        <w:tc>
          <w:tcPr>
            <w:tcW w:type="dxa" w:w="2960"/>
            <w:shd w:val="clear" w:color="auto" w:fill="F4F7F5"/>
          </w:tcPr>
          <w:p>
            <w:pPr>
              <w:spacing w:before="40" w:after="40"/>
              <w:jc w:val="left"/>
            </w:pPr>
            <w:r>
              <w:rPr>
                <w:b/>
                <w:color w:val="0D6E48"/>
                <w:sz w:val="18"/>
              </w:rPr>
              <w:t>Caisse &amp; Mobile Money</w:t>
            </w:r>
          </w:p>
        </w:tc>
        <w:tc>
          <w:tcPr>
            <w:tcW w:type="dxa" w:w="2960"/>
            <w:shd w:val="clear" w:color="auto" w:fill="F4F7F5"/>
          </w:tcPr>
          <w:p>
            <w:pPr>
              <w:spacing w:before="20" w:after="20"/>
            </w:pPr>
            <w:r>
              <w:rPr>
                <w:color w:val="1F2D3D"/>
                <w:sz w:val="17"/>
              </w:rPr>
              <w:t>• Guichet caisse (opérateur)</w:t>
            </w:r>
          </w:p>
          <w:p>
            <w:pPr>
              <w:spacing w:before="20" w:after="20"/>
            </w:pPr>
            <w:r>
              <w:rPr>
                <w:color w:val="1F2D3D"/>
                <w:sz w:val="17"/>
              </w:rPr>
              <w:t>• Validation MoMo (Mobile Money)</w:t>
            </w:r>
          </w:p>
          <w:p>
            <w:pPr>
              <w:spacing w:before="20" w:after="20"/>
            </w:pPr>
            <w:r>
              <w:rPr>
                <w:color w:val="1F2D3D"/>
                <w:sz w:val="17"/>
              </w:rPr>
              <w:t>• Opérations bancaires (core banking)</w:t>
            </w:r>
          </w:p>
          <w:p>
            <w:pPr>
              <w:spacing w:before="20" w:after="20"/>
            </w:pPr>
            <w:r>
              <w:rPr>
                <w:color w:val="1F2D3D"/>
                <w:sz w:val="17"/>
              </w:rPr>
              <w:t>• Réconciliation automatique</w:t>
            </w:r>
          </w:p>
          <w:p>
            <w:pPr>
              <w:spacing w:before="20" w:after="20"/>
            </w:pPr>
            <w:r>
              <w:rPr>
                <w:color w:val="1F2D3D"/>
                <w:sz w:val="17"/>
              </w:rPr>
              <w:t>• Transactions du jour</w:t>
            </w:r>
          </w:p>
          <w:p>
            <w:pPr>
              <w:spacing w:before="20" w:after="20"/>
            </w:pPr>
            <w:r>
              <w:rPr>
                <w:color w:val="1F2D3D"/>
                <w:sz w:val="17"/>
              </w:rPr>
              <w:t>• Caisse DG (vue consolidée)</w:t>
            </w:r>
          </w:p>
          <w:p>
            <w:pPr>
              <w:spacing w:before="20" w:after="20"/>
            </w:pPr>
            <w:r>
              <w:rPr>
                <w:color w:val="1F2D3D"/>
                <w:sz w:val="17"/>
              </w:rPr>
              <w:t>• Registre caisse</w:t>
            </w:r>
          </w:p>
        </w:tc>
        <w:tc>
          <w:tcPr>
            <w:tcW w:type="dxa" w:w="2960"/>
            <w:shd w:val="clear" w:color="auto" w:fill="F4F7F5"/>
          </w:tcPr>
          <w:p>
            <w:pPr>
              <w:spacing w:before="20" w:after="20"/>
            </w:pPr>
            <w:r>
              <w:rPr>
                <w:color w:val="1F2D3D"/>
                <w:sz w:val="17"/>
              </w:rPr>
              <w:t>• Validation IA MoMo : détection erreurs / doublons</w:t>
            </w:r>
          </w:p>
          <w:p>
            <w:pPr>
              <w:spacing w:before="20" w:after="20"/>
            </w:pPr>
            <w:r>
              <w:rPr>
                <w:color w:val="1F2D3D"/>
                <w:sz w:val="17"/>
              </w:rPr>
              <w:t>• Réconciliation IA : rapprochement bank ↔ MoMo</w:t>
            </w:r>
          </w:p>
          <w:p>
            <w:pPr>
              <w:spacing w:before="20" w:after="20"/>
            </w:pPr>
            <w:r>
              <w:rPr>
                <w:color w:val="1F2D3D"/>
                <w:sz w:val="17"/>
              </w:rPr>
              <w:t>• Détection anomalies caisse : alertes fraude</w:t>
            </w:r>
          </w:p>
          <w:p>
            <w:pPr>
              <w:spacing w:before="20" w:after="20"/>
            </w:pPr>
            <w:r>
              <w:rPr>
                <w:color w:val="1F2D3D"/>
                <w:sz w:val="17"/>
              </w:rPr>
              <w:t>• Prévision cash 7 jours (DAF)</w:t>
            </w:r>
          </w:p>
          <w:p>
            <w:pPr>
              <w:spacing w:before="20" w:after="20"/>
            </w:pPr>
            <w:r>
              <w:rPr>
                <w:color w:val="1F2D3D"/>
                <w:sz w:val="17"/>
              </w:rPr>
              <w:t>• Stratégie transfert inter-agences IA</w:t>
            </w:r>
          </w:p>
        </w:tc>
        <w:tc>
          <w:tcPr>
            <w:tcW w:type="dxa" w:w="2960"/>
            <w:shd w:val="clear" w:color="auto" w:fill="E8F5EE"/>
          </w:tcPr>
          <w:p>
            <w:pPr>
              <w:jc w:val="center"/>
            </w:pPr>
            <w:r>
              <w:rPr>
                <w:b/>
                <w:color w:val="0D6E48"/>
                <w:sz w:val="17"/>
              </w:rPr>
              <w:t>Zéro manipulation</w:t>
              <w:br/>
              <w:t>espèces ; réconciliation</w:t>
              <w:br/>
              <w:t>instantanée</w:t>
            </w:r>
          </w:p>
        </w:tc>
      </w:tr>
      <w:tr>
        <w:tc>
          <w:tcPr>
            <w:tcW w:type="dxa" w:w="2960"/>
            <w:shd w:val="clear" w:color="auto" w:fill="E8F5EE"/>
            <w:vAlign w:val="center"/>
          </w:tcPr>
          <w:p>
            <w:pPr>
              <w:spacing w:before="40" w:after="40"/>
              <w:jc w:val="center"/>
            </w:pPr>
            <w:r>
              <w:rPr>
                <w:b/>
                <w:color w:val="108A5C"/>
                <w:sz w:val="20"/>
              </w:rPr>
              <w:t>8</w:t>
            </w:r>
          </w:p>
        </w:tc>
        <w:tc>
          <w:tcPr>
            <w:tcW w:type="dxa" w:w="2960"/>
            <w:shd w:val="clear" w:color="auto" w:fill="FFFFFF"/>
          </w:tcPr>
          <w:p>
            <w:pPr>
              <w:spacing w:before="40" w:after="40"/>
              <w:jc w:val="left"/>
            </w:pPr>
            <w:r>
              <w:rPr>
                <w:b/>
                <w:color w:val="0D6E48"/>
                <w:sz w:val="18"/>
              </w:rPr>
              <w:t>Épargne</w:t>
            </w:r>
          </w:p>
        </w:tc>
        <w:tc>
          <w:tcPr>
            <w:tcW w:type="dxa" w:w="2960"/>
            <w:shd w:val="clear" w:color="auto" w:fill="FFFFFF"/>
          </w:tcPr>
          <w:p>
            <w:pPr>
              <w:spacing w:before="20" w:after="20"/>
            </w:pPr>
            <w:r>
              <w:rPr>
                <w:color w:val="1F2D3D"/>
                <w:sz w:val="17"/>
              </w:rPr>
              <w:t>• Vue épargne (liste comptes)</w:t>
            </w:r>
          </w:p>
          <w:p>
            <w:pPr>
              <w:spacing w:before="20" w:after="20"/>
            </w:pPr>
            <w:r>
              <w:rPr>
                <w:color w:val="1F2D3D"/>
                <w:sz w:val="17"/>
              </w:rPr>
              <w:t>• Détail compte épargne</w:t>
            </w:r>
          </w:p>
          <w:p>
            <w:pPr>
              <w:spacing w:before="20" w:after="20"/>
            </w:pPr>
            <w:r>
              <w:rPr>
                <w:color w:val="1F2D3D"/>
                <w:sz w:val="17"/>
              </w:rPr>
              <w:t>• Produits épargne</w:t>
            </w:r>
          </w:p>
          <w:p>
            <w:pPr>
              <w:spacing w:before="20" w:after="20"/>
            </w:pPr>
            <w:r>
              <w:rPr>
                <w:color w:val="1F2D3D"/>
                <w:sz w:val="17"/>
              </w:rPr>
              <w:t>• Vue DG épargne consolidée</w:t>
            </w:r>
          </w:p>
          <w:p>
            <w:pPr>
              <w:spacing w:before="20" w:after="20"/>
            </w:pPr>
            <w:r>
              <w:rPr>
                <w:color w:val="1F2D3D"/>
                <w:sz w:val="17"/>
              </w:rPr>
              <w:t>• Comptes dormants (détection auto)</w:t>
            </w:r>
          </w:p>
          <w:p>
            <w:pPr>
              <w:spacing w:before="20" w:after="20"/>
            </w:pPr>
            <w:r>
              <w:rPr>
                <w:color w:val="1F2D3D"/>
                <w:sz w:val="17"/>
              </w:rPr>
              <w:t>• Statistiques épargne</w:t>
            </w:r>
          </w:p>
        </w:tc>
        <w:tc>
          <w:tcPr>
            <w:tcW w:type="dxa" w:w="2960"/>
            <w:shd w:val="clear" w:color="auto" w:fill="FFFFFF"/>
          </w:tcPr>
          <w:p>
            <w:pPr>
              <w:spacing w:before="20" w:after="20"/>
            </w:pPr>
            <w:r>
              <w:rPr>
                <w:color w:val="1F2D3D"/>
                <w:sz w:val="17"/>
              </w:rPr>
              <w:t>• Alertes comptes dormants IA</w:t>
            </w:r>
          </w:p>
          <w:p>
            <w:pPr>
              <w:spacing w:before="20" w:after="20"/>
            </w:pPr>
            <w:r>
              <w:rPr>
                <w:color w:val="1F2D3D"/>
                <w:sz w:val="17"/>
              </w:rPr>
              <w:t>• Recommandation produits IA selon profil</w:t>
            </w:r>
          </w:p>
          <w:p>
            <w:pPr>
              <w:spacing w:before="20" w:after="20"/>
            </w:pPr>
            <w:r>
              <w:rPr>
                <w:color w:val="1F2D3D"/>
                <w:sz w:val="17"/>
              </w:rPr>
              <w:t>• Analyse comportement épargne : scoring fidélité</w:t>
            </w:r>
          </w:p>
        </w:tc>
        <w:tc>
          <w:tcPr>
            <w:tcW w:type="dxa" w:w="2960"/>
            <w:shd w:val="clear" w:color="auto" w:fill="E8F5EE"/>
          </w:tcPr>
          <w:p>
            <w:pPr>
              <w:jc w:val="center"/>
            </w:pPr>
            <w:r>
              <w:rPr>
                <w:b/>
                <w:color w:val="0D6E48"/>
                <w:sz w:val="17"/>
              </w:rPr>
              <w:t>-70 % du temps</w:t>
              <w:br/>
              <w:t>détection comptes dormants</w:t>
            </w:r>
          </w:p>
        </w:tc>
      </w:tr>
      <w:tr>
        <w:tc>
          <w:tcPr>
            <w:tcW w:type="dxa" w:w="2960"/>
            <w:shd w:val="clear" w:color="auto" w:fill="E8F5EE"/>
            <w:vAlign w:val="center"/>
          </w:tcPr>
          <w:p>
            <w:pPr>
              <w:spacing w:before="40" w:after="40"/>
              <w:jc w:val="center"/>
            </w:pPr>
            <w:r>
              <w:rPr>
                <w:b/>
                <w:color w:val="108A5C"/>
                <w:sz w:val="20"/>
              </w:rPr>
              <w:t>9</w:t>
            </w:r>
          </w:p>
        </w:tc>
        <w:tc>
          <w:tcPr>
            <w:tcW w:type="dxa" w:w="2960"/>
            <w:shd w:val="clear" w:color="auto" w:fill="F4F7F5"/>
          </w:tcPr>
          <w:p>
            <w:pPr>
              <w:spacing w:before="40" w:after="40"/>
              <w:jc w:val="left"/>
            </w:pPr>
            <w:r>
              <w:rPr>
                <w:b/>
                <w:color w:val="0D6E48"/>
                <w:sz w:val="18"/>
              </w:rPr>
              <w:t>Finance &amp; Comptabilité</w:t>
            </w:r>
          </w:p>
        </w:tc>
        <w:tc>
          <w:tcPr>
            <w:tcW w:type="dxa" w:w="2960"/>
            <w:shd w:val="clear" w:color="auto" w:fill="F4F7F5"/>
          </w:tcPr>
          <w:p>
            <w:pPr>
              <w:spacing w:before="20" w:after="20"/>
            </w:pPr>
            <w:r>
              <w:rPr>
                <w:color w:val="1F2D3D"/>
                <w:sz w:val="17"/>
              </w:rPr>
              <w:t>• Tableau de bord DAF complet</w:t>
            </w:r>
          </w:p>
          <w:p>
            <w:pPr>
              <w:spacing w:before="20" w:after="20"/>
            </w:pPr>
            <w:r>
              <w:rPr>
                <w:color w:val="1F2D3D"/>
                <w:sz w:val="17"/>
              </w:rPr>
              <w:t>• Comptabilité SYSCOHADA</w:t>
            </w:r>
          </w:p>
          <w:p>
            <w:pPr>
              <w:spacing w:before="20" w:after="20"/>
            </w:pPr>
            <w:r>
              <w:rPr>
                <w:color w:val="1F2D3D"/>
                <w:sz w:val="17"/>
              </w:rPr>
              <w:t>• Journal + rapprochements bancaires</w:t>
            </w:r>
          </w:p>
          <w:p>
            <w:pPr>
              <w:spacing w:before="20" w:after="20"/>
            </w:pPr>
            <w:r>
              <w:rPr>
                <w:color w:val="1F2D3D"/>
                <w:sz w:val="17"/>
              </w:rPr>
              <w:t>• Suspens comptables classifiés</w:t>
            </w:r>
          </w:p>
          <w:p>
            <w:pPr>
              <w:spacing w:before="20" w:after="20"/>
            </w:pPr>
            <w:r>
              <w:rPr>
                <w:color w:val="1F2D3D"/>
                <w:sz w:val="17"/>
              </w:rPr>
              <w:t>• Budget &amp; contrôle de gestion</w:t>
            </w:r>
          </w:p>
          <w:p>
            <w:pPr>
              <w:spacing w:before="20" w:after="20"/>
            </w:pPr>
            <w:r>
              <w:rPr>
                <w:color w:val="1F2D3D"/>
                <w:sz w:val="17"/>
              </w:rPr>
              <w:t>• Provisions BCEAO</w:t>
            </w:r>
          </w:p>
          <w:p>
            <w:pPr>
              <w:spacing w:before="20" w:after="20"/>
            </w:pPr>
            <w:r>
              <w:rPr>
                <w:color w:val="1F2D3D"/>
                <w:sz w:val="17"/>
              </w:rPr>
              <w:t>• Trésorerie consolidée multi-agences</w:t>
            </w:r>
          </w:p>
          <w:p>
            <w:pPr>
              <w:spacing w:before="20" w:after="20"/>
            </w:pPr>
            <w:r>
              <w:rPr>
                <w:color w:val="1F2D3D"/>
                <w:sz w:val="17"/>
              </w:rPr>
              <w:t>• Bilan consolidé &amp; rentabilité agence</w:t>
            </w:r>
          </w:p>
          <w:p>
            <w:pPr>
              <w:spacing w:before="20" w:after="20"/>
            </w:pPr>
            <w:r>
              <w:rPr>
                <w:color w:val="1F2D3D"/>
                <w:sz w:val="17"/>
              </w:rPr>
              <w:t>• Expected Loss (EL) portefeuille</w:t>
            </w:r>
          </w:p>
        </w:tc>
        <w:tc>
          <w:tcPr>
            <w:tcW w:type="dxa" w:w="2960"/>
            <w:shd w:val="clear" w:color="auto" w:fill="F4F7F5"/>
          </w:tcPr>
          <w:p>
            <w:pPr>
              <w:spacing w:before="20" w:after="20"/>
            </w:pPr>
            <w:r>
              <w:rPr>
                <w:color w:val="1F2D3D"/>
                <w:sz w:val="17"/>
              </w:rPr>
              <w:t>• DAF Copilot IA : synthèse financière</w:t>
            </w:r>
          </w:p>
          <w:p>
            <w:pPr>
              <w:spacing w:before="20" w:after="20"/>
            </w:pPr>
            <w:r>
              <w:rPr>
                <w:color w:val="1F2D3D"/>
                <w:sz w:val="17"/>
              </w:rPr>
              <w:t>• Prévision cash 7j : pics identifiés automatiquement</w:t>
            </w:r>
          </w:p>
          <w:p>
            <w:pPr>
              <w:spacing w:before="20" w:after="20"/>
            </w:pPr>
            <w:r>
              <w:rPr>
                <w:color w:val="1F2D3D"/>
                <w:sz w:val="17"/>
              </w:rPr>
              <w:t>• Risque financier IA : EL, coût du risque</w:t>
            </w:r>
          </w:p>
          <w:p>
            <w:pPr>
              <w:spacing w:before="20" w:after="20"/>
            </w:pPr>
            <w:r>
              <w:rPr>
                <w:color w:val="1F2D3D"/>
                <w:sz w:val="17"/>
              </w:rPr>
              <w:t>• Analyse provisions IA : écart BCEAO temps réel</w:t>
            </w:r>
          </w:p>
          <w:p>
            <w:pPr>
              <w:spacing w:before="20" w:after="20"/>
            </w:pPr>
            <w:r>
              <w:rPr>
                <w:color w:val="1F2D3D"/>
                <w:sz w:val="17"/>
              </w:rPr>
              <w:t>• Ratios BCEAO : conformité automatisée</w:t>
            </w:r>
          </w:p>
        </w:tc>
        <w:tc>
          <w:tcPr>
            <w:tcW w:type="dxa" w:w="2960"/>
            <w:shd w:val="clear" w:color="auto" w:fill="E8F5EE"/>
          </w:tcPr>
          <w:p>
            <w:pPr>
              <w:jc w:val="center"/>
            </w:pPr>
            <w:r>
              <w:rPr>
                <w:b/>
                <w:color w:val="0D6E48"/>
                <w:sz w:val="17"/>
              </w:rPr>
              <w:t>-5 h / semaine</w:t>
              <w:br/>
              <w:t>reporting BCEAO automatisé</w:t>
            </w:r>
          </w:p>
        </w:tc>
      </w:tr>
      <w:tr>
        <w:tc>
          <w:tcPr>
            <w:tcW w:type="dxa" w:w="2960"/>
            <w:shd w:val="clear" w:color="auto" w:fill="E8F5EE"/>
            <w:vAlign w:val="center"/>
          </w:tcPr>
          <w:p>
            <w:pPr>
              <w:spacing w:before="40" w:after="40"/>
              <w:jc w:val="center"/>
            </w:pPr>
            <w:r>
              <w:rPr>
                <w:b/>
                <w:color w:val="108A5C"/>
                <w:sz w:val="20"/>
              </w:rPr>
              <w:t>10</w:t>
            </w:r>
          </w:p>
        </w:tc>
        <w:tc>
          <w:tcPr>
            <w:tcW w:type="dxa" w:w="2960"/>
            <w:shd w:val="clear" w:color="auto" w:fill="FFFFFF"/>
          </w:tcPr>
          <w:p>
            <w:pPr>
              <w:spacing w:before="40" w:after="40"/>
              <w:jc w:val="left"/>
            </w:pPr>
            <w:r>
              <w:rPr>
                <w:b/>
                <w:color w:val="0D6E48"/>
                <w:sz w:val="18"/>
              </w:rPr>
              <w:t>Conformité &amp; Audit</w:t>
            </w:r>
          </w:p>
        </w:tc>
        <w:tc>
          <w:tcPr>
            <w:tcW w:type="dxa" w:w="2960"/>
            <w:shd w:val="clear" w:color="auto" w:fill="FFFFFF"/>
          </w:tcPr>
          <w:p>
            <w:pPr>
              <w:spacing w:before="20" w:after="20"/>
            </w:pPr>
            <w:r>
              <w:rPr>
                <w:color w:val="1F2D3D"/>
                <w:sz w:val="17"/>
              </w:rPr>
              <w:t>• Ratios réglementaires BCEAO/UEMOA</w:t>
            </w:r>
          </w:p>
          <w:p>
            <w:pPr>
              <w:spacing w:before="20" w:after="20"/>
            </w:pPr>
            <w:r>
              <w:rPr>
                <w:color w:val="1F2D3D"/>
                <w:sz w:val="17"/>
              </w:rPr>
              <w:t>• Rapport conformité export PDF/HTML</w:t>
            </w:r>
          </w:p>
          <w:p>
            <w:pPr>
              <w:spacing w:before="20" w:after="20"/>
            </w:pPr>
            <w:r>
              <w:rPr>
                <w:color w:val="1F2D3D"/>
                <w:sz w:val="17"/>
              </w:rPr>
              <w:t>• Anomalies détectées</w:t>
            </w:r>
          </w:p>
          <w:p>
            <w:pPr>
              <w:spacing w:before="20" w:after="20"/>
            </w:pPr>
            <w:r>
              <w:rPr>
                <w:color w:val="1F2D3D"/>
                <w:sz w:val="17"/>
              </w:rPr>
              <w:t>• Audit agences / crédit / caisse</w:t>
            </w:r>
          </w:p>
          <w:p>
            <w:pPr>
              <w:spacing w:before="20" w:after="20"/>
            </w:pPr>
            <w:r>
              <w:rPr>
                <w:color w:val="1F2D3D"/>
                <w:sz w:val="17"/>
              </w:rPr>
              <w:t>• Contrôle interne</w:t>
            </w:r>
          </w:p>
          <w:p>
            <w:pPr>
              <w:spacing w:before="20" w:after="20"/>
            </w:pPr>
            <w:r>
              <w:rPr>
                <w:color w:val="1F2D3D"/>
                <w:sz w:val="17"/>
              </w:rPr>
              <w:t>• Traçabilité complète (logs)</w:t>
            </w:r>
          </w:p>
          <w:p>
            <w:pPr>
              <w:spacing w:before="20" w:after="20"/>
            </w:pPr>
            <w:r>
              <w:rPr>
                <w:color w:val="1F2D3D"/>
                <w:sz w:val="17"/>
              </w:rPr>
              <w:t>• Classes BCEAO (répartition portefeuille)</w:t>
            </w:r>
          </w:p>
        </w:tc>
        <w:tc>
          <w:tcPr>
            <w:tcW w:type="dxa" w:w="2960"/>
            <w:shd w:val="clear" w:color="auto" w:fill="FFFFFF"/>
          </w:tcPr>
          <w:p>
            <w:pPr>
              <w:spacing w:before="20" w:after="20"/>
            </w:pPr>
            <w:r>
              <w:rPr>
                <w:color w:val="1F2D3D"/>
                <w:sz w:val="17"/>
              </w:rPr>
              <w:t>• Score conformité global (0–100) automatique</w:t>
            </w:r>
          </w:p>
          <w:p>
            <w:pPr>
              <w:spacing w:before="20" w:after="20"/>
            </w:pPr>
            <w:r>
              <w:rPr>
                <w:color w:val="1F2D3D"/>
                <w:sz w:val="17"/>
              </w:rPr>
              <w:t>• Alertes réglementaires proactives</w:t>
            </w:r>
          </w:p>
          <w:p>
            <w:pPr>
              <w:spacing w:before="20" w:after="20"/>
            </w:pPr>
            <w:r>
              <w:rPr>
                <w:color w:val="1F2D3D"/>
                <w:sz w:val="17"/>
              </w:rPr>
              <w:t>• Génération rapport BCEAO automatique</w:t>
            </w:r>
          </w:p>
          <w:p>
            <w:pPr>
              <w:spacing w:before="20" w:after="20"/>
            </w:pPr>
            <w:r>
              <w:rPr>
                <w:color w:val="1F2D3D"/>
                <w:sz w:val="17"/>
              </w:rPr>
              <w:t>• Audit IA : anomalies et risques opérationnels</w:t>
            </w:r>
          </w:p>
          <w:p>
            <w:pPr>
              <w:spacing w:before="20" w:after="20"/>
            </w:pPr>
            <w:r>
              <w:rPr>
                <w:color w:val="1F2D3D"/>
                <w:sz w:val="17"/>
              </w:rPr>
              <w:t>• Traçabilité IA : corrélation événements suspects</w:t>
            </w:r>
          </w:p>
        </w:tc>
        <w:tc>
          <w:tcPr>
            <w:tcW w:type="dxa" w:w="2960"/>
            <w:shd w:val="clear" w:color="auto" w:fill="E8F5EE"/>
          </w:tcPr>
          <w:p>
            <w:pPr>
              <w:jc w:val="center"/>
            </w:pPr>
            <w:r>
              <w:rPr>
                <w:b/>
                <w:color w:val="0D6E48"/>
                <w:sz w:val="17"/>
              </w:rPr>
              <w:t>-8 h / mois</w:t>
              <w:br/>
              <w:t>reporting réglementaire</w:t>
            </w:r>
          </w:p>
        </w:tc>
      </w:tr>
      <w:tr>
        <w:tc>
          <w:tcPr>
            <w:tcW w:type="dxa" w:w="2960"/>
            <w:shd w:val="clear" w:color="auto" w:fill="E8F5EE"/>
            <w:vAlign w:val="center"/>
          </w:tcPr>
          <w:p>
            <w:pPr>
              <w:spacing w:before="40" w:after="40"/>
              <w:jc w:val="center"/>
            </w:pPr>
            <w:r>
              <w:rPr>
                <w:b/>
                <w:color w:val="108A5C"/>
                <w:sz w:val="20"/>
              </w:rPr>
              <w:t>11</w:t>
            </w:r>
          </w:p>
        </w:tc>
        <w:tc>
          <w:tcPr>
            <w:tcW w:type="dxa" w:w="2960"/>
            <w:shd w:val="clear" w:color="auto" w:fill="F4F7F5"/>
          </w:tcPr>
          <w:p>
            <w:pPr>
              <w:spacing w:before="40" w:after="40"/>
              <w:jc w:val="left"/>
            </w:pPr>
            <w:r>
              <w:rPr>
                <w:b/>
                <w:color w:val="0D6E48"/>
                <w:sz w:val="18"/>
              </w:rPr>
              <w:t>Équipes &amp; Réseau d’Agences</w:t>
            </w:r>
          </w:p>
        </w:tc>
        <w:tc>
          <w:tcPr>
            <w:tcW w:type="dxa" w:w="2960"/>
            <w:shd w:val="clear" w:color="auto" w:fill="F4F7F5"/>
          </w:tcPr>
          <w:p>
            <w:pPr>
              <w:spacing w:before="20" w:after="20"/>
            </w:pPr>
            <w:r>
              <w:rPr>
                <w:color w:val="1F2D3D"/>
                <w:sz w:val="17"/>
              </w:rPr>
              <w:t>• Gestion équipes (liste + KPIs)</w:t>
            </w:r>
          </w:p>
          <w:p>
            <w:pPr>
              <w:spacing w:before="20" w:after="20"/>
            </w:pPr>
            <w:r>
              <w:rPr>
                <w:color w:val="1F2D3D"/>
                <w:sz w:val="17"/>
              </w:rPr>
              <w:t>• Fiche agent microfinance</w:t>
            </w:r>
          </w:p>
          <w:p>
            <w:pPr>
              <w:spacing w:before="20" w:after="20"/>
            </w:pPr>
            <w:r>
              <w:rPr>
                <w:color w:val="1F2D3D"/>
                <w:sz w:val="17"/>
              </w:rPr>
              <w:t>• Zones &amp; secteurs (découpage)</w:t>
            </w:r>
          </w:p>
          <w:p>
            <w:pPr>
              <w:spacing w:before="20" w:after="20"/>
            </w:pPr>
            <w:r>
              <w:rPr>
                <w:color w:val="1F2D3D"/>
                <w:sz w:val="17"/>
              </w:rPr>
              <w:t>• Carte zones-agents</w:t>
            </w:r>
          </w:p>
          <w:p>
            <w:pPr>
              <w:spacing w:before="20" w:after="20"/>
            </w:pPr>
            <w:r>
              <w:rPr>
                <w:color w:val="1F2D3D"/>
                <w:sz w:val="17"/>
              </w:rPr>
              <w:t>• KPIs agents (tableau de bord)</w:t>
            </w:r>
          </w:p>
          <w:p>
            <w:pPr>
              <w:spacing w:before="20" w:after="20"/>
            </w:pPr>
            <w:r>
              <w:rPr>
                <w:color w:val="1F2D3D"/>
                <w:sz w:val="17"/>
              </w:rPr>
              <w:t>• Vue réseau DG (toutes agences)</w:t>
            </w:r>
          </w:p>
          <w:p>
            <w:pPr>
              <w:spacing w:before="20" w:after="20"/>
            </w:pPr>
            <w:r>
              <w:rPr>
                <w:color w:val="1F2D3D"/>
                <w:sz w:val="17"/>
              </w:rPr>
              <w:t>• Performance gap par agent</w:t>
            </w:r>
          </w:p>
        </w:tc>
        <w:tc>
          <w:tcPr>
            <w:tcW w:type="dxa" w:w="2960"/>
            <w:shd w:val="clear" w:color="auto" w:fill="F4F7F5"/>
          </w:tcPr>
          <w:p>
            <w:pPr>
              <w:spacing w:before="20" w:after="20"/>
            </w:pPr>
            <w:r>
              <w:rPr>
                <w:color w:val="1F2D3D"/>
                <w:sz w:val="17"/>
              </w:rPr>
              <w:t>• IA performance gap : écart vs objectif</w:t>
            </w:r>
          </w:p>
          <w:p>
            <w:pPr>
              <w:spacing w:before="20" w:after="20"/>
            </w:pPr>
            <w:r>
              <w:rPr>
                <w:color w:val="1F2D3D"/>
                <w:sz w:val="17"/>
              </w:rPr>
              <w:t>• Analyse comportement agences : benchmarking</w:t>
            </w:r>
          </w:p>
          <w:p>
            <w:pPr>
              <w:spacing w:before="20" w:after="20"/>
            </w:pPr>
            <w:r>
              <w:rPr>
                <w:color w:val="1F2D3D"/>
                <w:sz w:val="17"/>
              </w:rPr>
              <w:t>• Recommandations coaching IA</w:t>
            </w:r>
          </w:p>
          <w:p>
            <w:pPr>
              <w:spacing w:before="20" w:after="20"/>
            </w:pPr>
            <w:r>
              <w:rPr>
                <w:color w:val="1F2D3D"/>
                <w:sz w:val="17"/>
              </w:rPr>
              <w:t>• Prévision PAR par zone : risques signalés</w:t>
            </w:r>
          </w:p>
          <w:p>
            <w:pPr>
              <w:spacing w:before="20" w:after="20"/>
            </w:pPr>
            <w:r>
              <w:rPr>
                <w:color w:val="1F2D3D"/>
                <w:sz w:val="17"/>
              </w:rPr>
              <w:t>• Copilot équipe : Q&amp;A agents spécifiques</w:t>
            </w:r>
          </w:p>
        </w:tc>
        <w:tc>
          <w:tcPr>
            <w:tcW w:type="dxa" w:w="2960"/>
            <w:shd w:val="clear" w:color="auto" w:fill="E8F5EE"/>
          </w:tcPr>
          <w:p>
            <w:pPr>
              <w:jc w:val="center"/>
            </w:pPr>
            <w:r>
              <w:rPr>
                <w:b/>
                <w:color w:val="0D6E48"/>
                <w:sz w:val="17"/>
              </w:rPr>
              <w:t>-2 h / semaine</w:t>
              <w:br/>
              <w:t>suivi performance terrain</w:t>
            </w:r>
          </w:p>
        </w:tc>
      </w:tr>
      <w:tr>
        <w:tc>
          <w:tcPr>
            <w:tcW w:type="dxa" w:w="2960"/>
            <w:shd w:val="clear" w:color="auto" w:fill="E8F5EE"/>
            <w:vAlign w:val="center"/>
          </w:tcPr>
          <w:p>
            <w:pPr>
              <w:spacing w:before="40" w:after="40"/>
              <w:jc w:val="center"/>
            </w:pPr>
            <w:r>
              <w:rPr>
                <w:b/>
                <w:color w:val="108A5C"/>
                <w:sz w:val="20"/>
              </w:rPr>
              <w:t>12</w:t>
            </w:r>
          </w:p>
        </w:tc>
        <w:tc>
          <w:tcPr>
            <w:tcW w:type="dxa" w:w="2960"/>
            <w:shd w:val="clear" w:color="auto" w:fill="FFFFFF"/>
          </w:tcPr>
          <w:p>
            <w:pPr>
              <w:spacing w:before="40" w:after="40"/>
              <w:jc w:val="left"/>
            </w:pPr>
            <w:r>
              <w:rPr>
                <w:b/>
                <w:color w:val="0D6E48"/>
                <w:sz w:val="18"/>
              </w:rPr>
              <w:t>Marketing &amp; Acquisition</w:t>
            </w:r>
          </w:p>
        </w:tc>
        <w:tc>
          <w:tcPr>
            <w:tcW w:type="dxa" w:w="2960"/>
            <w:shd w:val="clear" w:color="auto" w:fill="FFFFFF"/>
          </w:tcPr>
          <w:p>
            <w:pPr>
              <w:spacing w:before="20" w:after="20"/>
            </w:pPr>
            <w:r>
              <w:rPr>
                <w:color w:val="1F2D3D"/>
                <w:sz w:val="17"/>
              </w:rPr>
              <w:t>• Dashboard marketing</w:t>
            </w:r>
          </w:p>
          <w:p>
            <w:pPr>
              <w:spacing w:before="20" w:after="20"/>
            </w:pPr>
            <w:r>
              <w:rPr>
                <w:color w:val="1F2D3D"/>
                <w:sz w:val="17"/>
              </w:rPr>
              <w:t>• Gestion des leads</w:t>
            </w:r>
          </w:p>
          <w:p>
            <w:pPr>
              <w:spacing w:before="20" w:after="20"/>
            </w:pPr>
            <w:r>
              <w:rPr>
                <w:color w:val="1F2D3D"/>
                <w:sz w:val="17"/>
              </w:rPr>
              <w:t>• Campagnes marketing</w:t>
            </w:r>
          </w:p>
          <w:p>
            <w:pPr>
              <w:spacing w:before="20" w:after="20"/>
            </w:pPr>
            <w:r>
              <w:rPr>
                <w:color w:val="1F2D3D"/>
                <w:sz w:val="17"/>
              </w:rPr>
              <w:t>• Taux de conversion</w:t>
            </w:r>
          </w:p>
          <w:p>
            <w:pPr>
              <w:spacing w:before="20" w:after="20"/>
            </w:pPr>
            <w:r>
              <w:rPr>
                <w:color w:val="1F2D3D"/>
                <w:sz w:val="17"/>
              </w:rPr>
              <w:t>• Segmentation clients</w:t>
            </w:r>
          </w:p>
          <w:p>
            <w:pPr>
              <w:spacing w:before="20" w:after="20"/>
            </w:pPr>
            <w:r>
              <w:rPr>
                <w:color w:val="1F2D3D"/>
                <w:sz w:val="17"/>
              </w:rPr>
              <w:t>• Chatbot WhatsApp (acquisition)</w:t>
            </w:r>
          </w:p>
          <w:p>
            <w:pPr>
              <w:spacing w:before="20" w:after="20"/>
            </w:pPr>
            <w:r>
              <w:rPr>
                <w:color w:val="1F2D3D"/>
                <w:sz w:val="17"/>
              </w:rPr>
              <w:t>• Défis commerciaux gamifiés</w:t>
            </w:r>
          </w:p>
        </w:tc>
        <w:tc>
          <w:tcPr>
            <w:tcW w:type="dxa" w:w="2960"/>
            <w:shd w:val="clear" w:color="auto" w:fill="FFFFFF"/>
          </w:tcPr>
          <w:p>
            <w:pPr>
              <w:spacing w:before="20" w:after="20"/>
            </w:pPr>
            <w:r>
              <w:rPr>
                <w:color w:val="1F2D3D"/>
                <w:sz w:val="17"/>
              </w:rPr>
              <w:t>• Chatbot IA leads WhatsApp : qualification auto</w:t>
            </w:r>
          </w:p>
          <w:p>
            <w:pPr>
              <w:spacing w:before="20" w:after="20"/>
            </w:pPr>
            <w:r>
              <w:rPr>
                <w:color w:val="1F2D3D"/>
                <w:sz w:val="17"/>
              </w:rPr>
              <w:t>• Scoring prospects IA : priorisation leads</w:t>
            </w:r>
          </w:p>
          <w:p>
            <w:pPr>
              <w:spacing w:before="20" w:after="20"/>
            </w:pPr>
            <w:r>
              <w:rPr>
                <w:color w:val="1F2D3D"/>
                <w:sz w:val="17"/>
              </w:rPr>
              <w:t>• Segmentation IA : clusters comportementaux</w:t>
            </w:r>
          </w:p>
          <w:p>
            <w:pPr>
              <w:spacing w:before="20" w:after="20"/>
            </w:pPr>
            <w:r>
              <w:rPr>
                <w:color w:val="1F2D3D"/>
                <w:sz w:val="17"/>
              </w:rPr>
              <w:t>• Propositions campagnes IA : ciblage optimal</w:t>
            </w:r>
          </w:p>
          <w:p>
            <w:pPr>
              <w:spacing w:before="20" w:after="20"/>
            </w:pPr>
            <w:r>
              <w:rPr>
                <w:color w:val="1F2D3D"/>
                <w:sz w:val="17"/>
              </w:rPr>
              <w:t>• Copilot marketing : analyse conversion</w:t>
            </w:r>
          </w:p>
        </w:tc>
        <w:tc>
          <w:tcPr>
            <w:tcW w:type="dxa" w:w="2960"/>
            <w:shd w:val="clear" w:color="auto" w:fill="E8F5EE"/>
          </w:tcPr>
          <w:p>
            <w:pPr>
              <w:jc w:val="center"/>
            </w:pPr>
            <w:r>
              <w:rPr>
                <w:b/>
                <w:color w:val="0D6E48"/>
                <w:sz w:val="17"/>
              </w:rPr>
              <w:t>+40 % de conversion leads</w:t>
              <w:br/>
              <w:t>scoring IA</w:t>
            </w:r>
          </w:p>
        </w:tc>
      </w:tr>
      <w:tr>
        <w:tc>
          <w:tcPr>
            <w:tcW w:type="dxa" w:w="2960"/>
            <w:shd w:val="clear" w:color="auto" w:fill="E8F5EE"/>
            <w:vAlign w:val="center"/>
          </w:tcPr>
          <w:p>
            <w:pPr>
              <w:spacing w:before="40" w:after="40"/>
              <w:jc w:val="center"/>
            </w:pPr>
            <w:r>
              <w:rPr>
                <w:b/>
                <w:color w:val="108A5C"/>
                <w:sz w:val="20"/>
              </w:rPr>
              <w:t>13</w:t>
            </w:r>
          </w:p>
        </w:tc>
        <w:tc>
          <w:tcPr>
            <w:tcW w:type="dxa" w:w="2960"/>
            <w:shd w:val="clear" w:color="auto" w:fill="F4F7F5"/>
          </w:tcPr>
          <w:p>
            <w:pPr>
              <w:spacing w:before="40" w:after="40"/>
              <w:jc w:val="left"/>
            </w:pPr>
            <w:r>
              <w:rPr>
                <w:b/>
                <w:color w:val="0D6E48"/>
                <w:sz w:val="18"/>
              </w:rPr>
              <w:t>Produits Financiers</w:t>
            </w:r>
          </w:p>
        </w:tc>
        <w:tc>
          <w:tcPr>
            <w:tcW w:type="dxa" w:w="2960"/>
            <w:shd w:val="clear" w:color="auto" w:fill="F4F7F5"/>
          </w:tcPr>
          <w:p>
            <w:pPr>
              <w:spacing w:before="20" w:after="20"/>
            </w:pPr>
            <w:r>
              <w:rPr>
                <w:color w:val="1F2D3D"/>
                <w:sz w:val="17"/>
              </w:rPr>
              <w:t>• Catalogue produits crédit</w:t>
            </w:r>
          </w:p>
          <w:p>
            <w:pPr>
              <w:spacing w:before="20" w:after="20"/>
            </w:pPr>
            <w:r>
              <w:rPr>
                <w:color w:val="1F2D3D"/>
                <w:sz w:val="17"/>
              </w:rPr>
              <w:t>• Configuration des produits</w:t>
            </w:r>
          </w:p>
          <w:p>
            <w:pPr>
              <w:spacing w:before="20" w:after="20"/>
            </w:pPr>
            <w:r>
              <w:rPr>
                <w:color w:val="1F2D3D"/>
                <w:sz w:val="17"/>
              </w:rPr>
              <w:t>• Produits épargne</w:t>
            </w:r>
          </w:p>
          <w:p>
            <w:pPr>
              <w:spacing w:before="20" w:after="20"/>
            </w:pPr>
            <w:r>
              <w:rPr>
                <w:color w:val="1F2D3D"/>
                <w:sz w:val="17"/>
              </w:rPr>
              <w:t>• Échéancier crédit builder</w:t>
            </w:r>
          </w:p>
          <w:p>
            <w:pPr>
              <w:spacing w:before="20" w:after="20"/>
            </w:pPr>
            <w:r>
              <w:rPr>
                <w:color w:val="1F2D3D"/>
                <w:sz w:val="17"/>
              </w:rPr>
              <w:t>• Conditions finales prêt</w:t>
            </w:r>
          </w:p>
        </w:tc>
        <w:tc>
          <w:tcPr>
            <w:tcW w:type="dxa" w:w="2960"/>
            <w:shd w:val="clear" w:color="auto" w:fill="F4F7F5"/>
          </w:tcPr>
          <w:p>
            <w:pPr>
              <w:spacing w:before="20" w:after="20"/>
            </w:pPr>
            <w:r>
              <w:rPr>
                <w:color w:val="1F2D3D"/>
                <w:sz w:val="17"/>
              </w:rPr>
              <w:t>• IA recommandation produit : adapté au profil</w:t>
            </w:r>
          </w:p>
          <w:p>
            <w:pPr>
              <w:spacing w:before="20" w:after="20"/>
            </w:pPr>
            <w:r>
              <w:rPr>
                <w:color w:val="1F2D3D"/>
                <w:sz w:val="17"/>
              </w:rPr>
              <w:t>• Simulation échéancier IA : conditions optimales</w:t>
            </w:r>
          </w:p>
        </w:tc>
        <w:tc>
          <w:tcPr>
            <w:tcW w:type="dxa" w:w="2960"/>
            <w:shd w:val="clear" w:color="auto" w:fill="E8F5EE"/>
          </w:tcPr>
          <w:p>
            <w:pPr>
              <w:jc w:val="center"/>
            </w:pPr>
            <w:r>
              <w:rPr>
                <w:b/>
                <w:color w:val="0D6E48"/>
                <w:sz w:val="17"/>
              </w:rPr>
              <w:t>-30 min / demande</w:t>
              <w:br/>
              <w:t>configuration conditions</w:t>
            </w:r>
          </w:p>
        </w:tc>
      </w:tr>
    </w:tbl>
    <w:p>
      <w:r>
        <w:br w:type="page"/>
      </w:r>
    </w:p>
    <w:p>
      <w:pPr>
        <w:spacing w:before="280" w:after="120"/>
      </w:pPr>
      <w:r>
        <w:rPr>
          <w:b/>
          <w:color w:val="108A5C"/>
          <w:sz w:val="26"/>
        </w:rPr>
        <w:t>TABLEAU 2 — Description des Processus par Module</w:t>
      </w:r>
    </w:p>
    <w:tbl>
      <w:tblPr>
        <w:tblStyle w:val="TableGrid"/>
        <w:tblW w:type="auto" w:w="0"/>
        <w:jc w:val="center"/>
        <w:tblLook w:firstColumn="1" w:firstRow="1" w:lastColumn="0" w:lastRow="0" w:noHBand="0" w:noVBand="1" w:val="04A0"/>
      </w:tblPr>
      <w:tblGrid>
        <w:gridCol w:w="4933"/>
        <w:gridCol w:w="4933"/>
        <w:gridCol w:w="4933"/>
      </w:tblGrid>
      <w:tr>
        <w:tc>
          <w:tcPr>
            <w:tcW w:type="dxa" w:w="454"/>
            <w:shd w:val="clear" w:color="auto" w:fill="0D6E48"/>
          </w:tcPr>
          <w:p>
            <w:pPr>
              <w:spacing w:before="40" w:after="40"/>
              <w:jc w:val="center"/>
            </w:pPr>
            <w:r>
              <w:rPr>
                <w:b/>
                <w:color w:val="FFFFFF"/>
                <w:sz w:val="18"/>
              </w:rPr>
              <w:t>#</w:t>
            </w:r>
          </w:p>
        </w:tc>
        <w:tc>
          <w:tcPr>
            <w:tcW w:type="dxa" w:w="2551"/>
            <w:shd w:val="clear" w:color="auto" w:fill="0D6E48"/>
          </w:tcPr>
          <w:p>
            <w:pPr>
              <w:spacing w:before="40" w:after="40"/>
              <w:jc w:val="center"/>
            </w:pPr>
            <w:r>
              <w:rPr>
                <w:b/>
                <w:color w:val="FFFFFF"/>
                <w:sz w:val="18"/>
              </w:rPr>
              <w:t>Module</w:t>
            </w:r>
          </w:p>
        </w:tc>
        <w:tc>
          <w:tcPr>
            <w:tcW w:type="dxa" w:w="10942"/>
            <w:shd w:val="clear" w:color="auto" w:fill="0D6E48"/>
          </w:tcPr>
          <w:p>
            <w:pPr>
              <w:spacing w:before="40" w:after="40"/>
              <w:jc w:val="center"/>
            </w:pPr>
            <w:r>
              <w:rPr>
                <w:b/>
                <w:color w:val="FFFFFF"/>
                <w:sz w:val="18"/>
              </w:rPr>
              <w:t>Description du processus</w:t>
            </w:r>
          </w:p>
        </w:tc>
      </w:tr>
      <w:tr>
        <w:tc>
          <w:tcPr>
            <w:tcW w:type="dxa" w:w="4933"/>
            <w:shd w:val="clear" w:color="auto" w:fill="E8F5EE"/>
          </w:tcPr>
          <w:p>
            <w:pPr>
              <w:spacing w:before="40" w:after="40"/>
              <w:jc w:val="center"/>
            </w:pPr>
            <w:r>
              <w:rPr>
                <w:b/>
                <w:color w:val="108A5C"/>
                <w:sz w:val="20"/>
              </w:rPr>
              <w:t>1</w:t>
            </w:r>
          </w:p>
        </w:tc>
        <w:tc>
          <w:tcPr>
            <w:tcW w:type="dxa" w:w="4933"/>
            <w:shd w:val="clear" w:color="auto" w:fill="F4F7F5"/>
          </w:tcPr>
          <w:p>
            <w:pPr>
              <w:spacing w:before="40" w:after="40"/>
              <w:jc w:val="left"/>
            </w:pPr>
            <w:r>
              <w:rPr>
                <w:b/>
                <w:color w:val="0D6E48"/>
                <w:sz w:val="18"/>
              </w:rPr>
              <w:t>Dashboard &amp; Pilotage</w:t>
            </w:r>
          </w:p>
        </w:tc>
        <w:tc>
          <w:tcPr>
            <w:tcW w:type="dxa" w:w="4933"/>
            <w:shd w:val="clear" w:color="auto" w:fill="F4F7F5"/>
          </w:tcPr>
          <w:p>
            <w:pPr>
              <w:spacing w:before="40" w:after="40"/>
            </w:pPr>
            <w:r>
              <w:rPr>
                <w:color w:val="1F2D3D"/>
                <w:sz w:val="18"/>
              </w:rPr>
              <w:t>Prospera adapte automatiquement l'interface à chaque profil utilisateur et centralise en un seul écran l'ensemble des indicateurs clés de performance. Un assistant IA intégré permet à chaque responsable d'interroger ses données en langage naturel et de recevoir des priorités d'action actualisées en temps réel. La plateforme offre une navigation multi-niveaux du réseau jusqu'au client individuel.</w:t>
            </w:r>
          </w:p>
        </w:tc>
      </w:tr>
      <w:tr>
        <w:tc>
          <w:tcPr>
            <w:tcW w:type="dxa" w:w="4933"/>
            <w:shd w:val="clear" w:color="auto" w:fill="E8F5EE"/>
          </w:tcPr>
          <w:p>
            <w:pPr>
              <w:spacing w:before="40" w:after="40"/>
              <w:jc w:val="center"/>
            </w:pPr>
            <w:r>
              <w:rPr>
                <w:b/>
                <w:color w:val="108A5C"/>
                <w:sz w:val="20"/>
              </w:rPr>
              <w:t>2</w:t>
            </w:r>
          </w:p>
        </w:tc>
        <w:tc>
          <w:tcPr>
            <w:tcW w:type="dxa" w:w="4933"/>
            <w:shd w:val="clear" w:color="auto" w:fill="FFFFFF"/>
          </w:tcPr>
          <w:p>
            <w:pPr>
              <w:spacing w:before="40" w:after="40"/>
              <w:jc w:val="left"/>
            </w:pPr>
            <w:r>
              <w:rPr>
                <w:b/>
                <w:color w:val="0D6E48"/>
                <w:sz w:val="18"/>
              </w:rPr>
              <w:t>CRM Clients / Emprunteurs</w:t>
            </w:r>
          </w:p>
        </w:tc>
        <w:tc>
          <w:tcPr>
            <w:tcW w:type="dxa" w:w="4933"/>
            <w:shd w:val="clear" w:color="auto" w:fill="FFFFFF"/>
          </w:tcPr>
          <w:p>
            <w:pPr>
              <w:spacing w:before="40" w:after="40"/>
            </w:pPr>
            <w:r>
              <w:rPr>
                <w:color w:val="1F2D3D"/>
                <w:sz w:val="18"/>
              </w:rPr>
              <w:t>Prospera constitue automatiquement une fiche enrichie pour chaque emprunteur, consolidant ses informations financières, comportementales et géographiques. L'IA évalue en continu le niveau de risque de chaque client et alerte les équipes dès qu'un signal préoccupant est détecté. La gestion des groupes solidaires et la vérification d'identité sont intégrées au même espace.</w:t>
            </w:r>
          </w:p>
        </w:tc>
      </w:tr>
      <w:tr>
        <w:tc>
          <w:tcPr>
            <w:tcW w:type="dxa" w:w="4933"/>
            <w:shd w:val="clear" w:color="auto" w:fill="E8F5EE"/>
          </w:tcPr>
          <w:p>
            <w:pPr>
              <w:spacing w:before="40" w:after="40"/>
              <w:jc w:val="center"/>
            </w:pPr>
            <w:r>
              <w:rPr>
                <w:b/>
                <w:color w:val="108A5C"/>
                <w:sz w:val="20"/>
              </w:rPr>
              <w:t>3</w:t>
            </w:r>
          </w:p>
        </w:tc>
        <w:tc>
          <w:tcPr>
            <w:tcW w:type="dxa" w:w="4933"/>
            <w:shd w:val="clear" w:color="auto" w:fill="F4F7F5"/>
          </w:tcPr>
          <w:p>
            <w:pPr>
              <w:spacing w:before="40" w:after="40"/>
              <w:jc w:val="left"/>
            </w:pPr>
            <w:r>
              <w:rPr>
                <w:b/>
                <w:color w:val="0D6E48"/>
                <w:sz w:val="18"/>
              </w:rPr>
              <w:t>Crédit (Pipeline &amp; Dossiers)</w:t>
            </w:r>
          </w:p>
        </w:tc>
        <w:tc>
          <w:tcPr>
            <w:tcW w:type="dxa" w:w="4933"/>
            <w:shd w:val="clear" w:color="auto" w:fill="F4F7F5"/>
          </w:tcPr>
          <w:p>
            <w:pPr>
              <w:spacing w:before="40" w:after="40"/>
            </w:pPr>
            <w:r>
              <w:rPr>
                <w:color w:val="1F2D3D"/>
                <w:sz w:val="18"/>
              </w:rPr>
              <w:t>Prospera structure le cycle de traitement des demandes de crédit de bout en bout, de la prospection jusqu'au décaissement. À chaque étape d'instruction, l'IA analyse le dossier, produit une évaluation et formule une recommandation de décision à l'attention des équipes habilitées. Les dossiers sensibles ou bloqués sont mis en évidence automatiquement pour accélérer les arbitrages.</w:t>
            </w:r>
          </w:p>
        </w:tc>
      </w:tr>
      <w:tr>
        <w:tc>
          <w:tcPr>
            <w:tcW w:type="dxa" w:w="4933"/>
            <w:shd w:val="clear" w:color="auto" w:fill="E8F5EE"/>
          </w:tcPr>
          <w:p>
            <w:pPr>
              <w:spacing w:before="40" w:after="40"/>
              <w:jc w:val="center"/>
            </w:pPr>
            <w:r>
              <w:rPr>
                <w:b/>
                <w:color w:val="108A5C"/>
                <w:sz w:val="20"/>
              </w:rPr>
              <w:t>4</w:t>
            </w:r>
          </w:p>
        </w:tc>
        <w:tc>
          <w:tcPr>
            <w:tcW w:type="dxa" w:w="4933"/>
            <w:shd w:val="clear" w:color="auto" w:fill="FFFFFF"/>
          </w:tcPr>
          <w:p>
            <w:pPr>
              <w:spacing w:before="40" w:after="40"/>
              <w:jc w:val="left"/>
            </w:pPr>
            <w:r>
              <w:rPr>
                <w:b/>
                <w:color w:val="0D6E48"/>
                <w:sz w:val="18"/>
              </w:rPr>
              <w:t>Recouvrement</w:t>
            </w:r>
          </w:p>
        </w:tc>
        <w:tc>
          <w:tcPr>
            <w:tcW w:type="dxa" w:w="4933"/>
            <w:shd w:val="clear" w:color="auto" w:fill="FFFFFF"/>
          </w:tcPr>
          <w:p>
            <w:pPr>
              <w:spacing w:before="40" w:after="40"/>
            </w:pPr>
            <w:r>
              <w:rPr>
                <w:color w:val="1F2D3D"/>
                <w:sz w:val="18"/>
              </w:rPr>
              <w:t>Le module recouvrement offre une vision consolidée de l'ensemble des créances en retard à l'échelle du réseau. L'IA priorise les situations les plus critiques et propose une stratégie d'intervention adaptée à chaque agence et à chaque profil de débiteur. L'historique des actions menées et leur résultat sont centralisés pour chaque dossier.</w:t>
            </w:r>
          </w:p>
        </w:tc>
      </w:tr>
      <w:tr>
        <w:tc>
          <w:tcPr>
            <w:tcW w:type="dxa" w:w="4933"/>
            <w:shd w:val="clear" w:color="auto" w:fill="E8F5EE"/>
          </w:tcPr>
          <w:p>
            <w:pPr>
              <w:spacing w:before="40" w:after="40"/>
              <w:jc w:val="center"/>
            </w:pPr>
            <w:r>
              <w:rPr>
                <w:b/>
                <w:color w:val="108A5C"/>
                <w:sz w:val="20"/>
              </w:rPr>
              <w:t>5</w:t>
            </w:r>
          </w:p>
        </w:tc>
        <w:tc>
          <w:tcPr>
            <w:tcW w:type="dxa" w:w="4933"/>
            <w:shd w:val="clear" w:color="auto" w:fill="F4F7F5"/>
          </w:tcPr>
          <w:p>
            <w:pPr>
              <w:spacing w:before="40" w:after="40"/>
              <w:jc w:val="left"/>
            </w:pPr>
            <w:r>
              <w:rPr>
                <w:b/>
                <w:color w:val="0D6E48"/>
                <w:sz w:val="18"/>
              </w:rPr>
              <w:t>Terrain (Agents &amp; GPS)</w:t>
            </w:r>
          </w:p>
        </w:tc>
        <w:tc>
          <w:tcPr>
            <w:tcW w:type="dxa" w:w="4933"/>
            <w:shd w:val="clear" w:color="auto" w:fill="F4F7F5"/>
          </w:tcPr>
          <w:p>
            <w:pPr>
              <w:spacing w:before="40" w:after="40"/>
            </w:pPr>
            <w:r>
              <w:rPr>
                <w:color w:val="1F2D3D"/>
                <w:sz w:val="18"/>
              </w:rPr>
              <w:t>Les agents de terrain accèdent à leurs missions et aux données clients même en l'absence de connectivité réseau. Leurs déplacements et activités sont pilotés intelligemment pour maximiser la couverture et l'impact. Chaque interaction terrain est saisie et remontée automatiquement vers le système central.</w:t>
            </w:r>
          </w:p>
        </w:tc>
      </w:tr>
      <w:tr>
        <w:tc>
          <w:tcPr>
            <w:tcW w:type="dxa" w:w="4933"/>
            <w:shd w:val="clear" w:color="auto" w:fill="E8F5EE"/>
          </w:tcPr>
          <w:p>
            <w:pPr>
              <w:spacing w:before="40" w:after="40"/>
              <w:jc w:val="center"/>
            </w:pPr>
            <w:r>
              <w:rPr>
                <w:b/>
                <w:color w:val="108A5C"/>
                <w:sz w:val="20"/>
              </w:rPr>
              <w:t>6</w:t>
            </w:r>
          </w:p>
        </w:tc>
        <w:tc>
          <w:tcPr>
            <w:tcW w:type="dxa" w:w="4933"/>
            <w:shd w:val="clear" w:color="auto" w:fill="FFFFFF"/>
          </w:tcPr>
          <w:p>
            <w:pPr>
              <w:spacing w:before="40" w:after="40"/>
              <w:jc w:val="left"/>
            </w:pPr>
            <w:r>
              <w:rPr>
                <w:b/>
                <w:color w:val="0D6E48"/>
                <w:sz w:val="18"/>
              </w:rPr>
              <w:t>Relances Intelligentes</w:t>
            </w:r>
          </w:p>
        </w:tc>
        <w:tc>
          <w:tcPr>
            <w:tcW w:type="dxa" w:w="4933"/>
            <w:shd w:val="clear" w:color="auto" w:fill="FFFFFF"/>
          </w:tcPr>
          <w:p>
            <w:pPr>
              <w:spacing w:before="40" w:after="40"/>
            </w:pPr>
            <w:r>
              <w:rPr>
                <w:color w:val="1F2D3D"/>
                <w:sz w:val="18"/>
              </w:rPr>
              <w:t>Prospera surveille en permanence les échéances de remboursement et déclenche des actions de relance adaptées sans intervention manuelle. Le canal de communication et le moment d'envoi sont déterminés par l'IA en fonction du comportement de chaque client. Les escalades vers les équipes terrain ou la hiérarchie sont déclenchées automatiquement selon l'évolution de la situation.</w:t>
            </w:r>
          </w:p>
        </w:tc>
      </w:tr>
      <w:tr>
        <w:tc>
          <w:tcPr>
            <w:tcW w:type="dxa" w:w="4933"/>
            <w:shd w:val="clear" w:color="auto" w:fill="E8F5EE"/>
          </w:tcPr>
          <w:p>
            <w:pPr>
              <w:spacing w:before="40" w:after="40"/>
              <w:jc w:val="center"/>
            </w:pPr>
            <w:r>
              <w:rPr>
                <w:b/>
                <w:color w:val="108A5C"/>
                <w:sz w:val="20"/>
              </w:rPr>
              <w:t>7</w:t>
            </w:r>
          </w:p>
        </w:tc>
        <w:tc>
          <w:tcPr>
            <w:tcW w:type="dxa" w:w="4933"/>
            <w:shd w:val="clear" w:color="auto" w:fill="F4F7F5"/>
          </w:tcPr>
          <w:p>
            <w:pPr>
              <w:spacing w:before="40" w:after="40"/>
              <w:jc w:val="left"/>
            </w:pPr>
            <w:r>
              <w:rPr>
                <w:b/>
                <w:color w:val="0D6E48"/>
                <w:sz w:val="18"/>
              </w:rPr>
              <w:t>Caisse &amp; Mobile Money</w:t>
            </w:r>
          </w:p>
        </w:tc>
        <w:tc>
          <w:tcPr>
            <w:tcW w:type="dxa" w:w="4933"/>
            <w:shd w:val="clear" w:color="auto" w:fill="F4F7F5"/>
          </w:tcPr>
          <w:p>
            <w:pPr>
              <w:spacing w:before="40" w:after="40"/>
            </w:pPr>
            <w:r>
              <w:rPr>
                <w:color w:val="1F2D3D"/>
                <w:sz w:val="18"/>
              </w:rPr>
              <w:t>Prospera centralise l'ensemble des flux financiers journaliers de toutes les agences et automatise leur réconciliation avec les paiements reçus via les plateformes de Mobile Money. Les anomalies sont signalées en temps réel et la position de trésorerie de chaque agence est visible à tout moment par la direction.</w:t>
            </w:r>
          </w:p>
        </w:tc>
      </w:tr>
      <w:tr>
        <w:tc>
          <w:tcPr>
            <w:tcW w:type="dxa" w:w="4933"/>
            <w:shd w:val="clear" w:color="auto" w:fill="E8F5EE"/>
          </w:tcPr>
          <w:p>
            <w:pPr>
              <w:spacing w:before="40" w:after="40"/>
              <w:jc w:val="center"/>
            </w:pPr>
            <w:r>
              <w:rPr>
                <w:b/>
                <w:color w:val="108A5C"/>
                <w:sz w:val="20"/>
              </w:rPr>
              <w:t>8</w:t>
            </w:r>
          </w:p>
        </w:tc>
        <w:tc>
          <w:tcPr>
            <w:tcW w:type="dxa" w:w="4933"/>
            <w:shd w:val="clear" w:color="auto" w:fill="FFFFFF"/>
          </w:tcPr>
          <w:p>
            <w:pPr>
              <w:spacing w:before="40" w:after="40"/>
              <w:jc w:val="left"/>
            </w:pPr>
            <w:r>
              <w:rPr>
                <w:b/>
                <w:color w:val="0D6E48"/>
                <w:sz w:val="18"/>
              </w:rPr>
              <w:t>Épargne</w:t>
            </w:r>
          </w:p>
        </w:tc>
        <w:tc>
          <w:tcPr>
            <w:tcW w:type="dxa" w:w="4933"/>
            <w:shd w:val="clear" w:color="auto" w:fill="FFFFFF"/>
          </w:tcPr>
          <w:p>
            <w:pPr>
              <w:spacing w:before="40" w:after="40"/>
            </w:pPr>
            <w:r>
              <w:rPr>
                <w:color w:val="1F2D3D"/>
                <w:sz w:val="18"/>
              </w:rPr>
              <w:t>Le module épargne suit l'ensemble des comptes et produits disponibles à l'échelle du réseau. L'IA identifie automatiquement les comptes inactifs et les opportunités de fidélisation. La direction dispose d'une vue consolidée des encours épargne pour orienter sa politique commerciale.</w:t>
            </w:r>
          </w:p>
        </w:tc>
      </w:tr>
      <w:tr>
        <w:tc>
          <w:tcPr>
            <w:tcW w:type="dxa" w:w="4933"/>
            <w:shd w:val="clear" w:color="auto" w:fill="E8F5EE"/>
          </w:tcPr>
          <w:p>
            <w:pPr>
              <w:spacing w:before="40" w:after="40"/>
              <w:jc w:val="center"/>
            </w:pPr>
            <w:r>
              <w:rPr>
                <w:b/>
                <w:color w:val="108A5C"/>
                <w:sz w:val="20"/>
              </w:rPr>
              <w:t>9</w:t>
            </w:r>
          </w:p>
        </w:tc>
        <w:tc>
          <w:tcPr>
            <w:tcW w:type="dxa" w:w="4933"/>
            <w:shd w:val="clear" w:color="auto" w:fill="F4F7F5"/>
          </w:tcPr>
          <w:p>
            <w:pPr>
              <w:spacing w:before="40" w:after="40"/>
              <w:jc w:val="left"/>
            </w:pPr>
            <w:r>
              <w:rPr>
                <w:b/>
                <w:color w:val="0D6E48"/>
                <w:sz w:val="18"/>
              </w:rPr>
              <w:t>Finance &amp; Comptabilité</w:t>
            </w:r>
          </w:p>
        </w:tc>
        <w:tc>
          <w:tcPr>
            <w:tcW w:type="dxa" w:w="4933"/>
            <w:shd w:val="clear" w:color="auto" w:fill="F4F7F5"/>
          </w:tcPr>
          <w:p>
            <w:pPr>
              <w:spacing w:before="40" w:after="40"/>
            </w:pPr>
            <w:r>
              <w:rPr>
                <w:color w:val="1F2D3D"/>
                <w:sz w:val="18"/>
              </w:rPr>
              <w:t>Prospera couvre les obligations comptables de l'institution et automatise les tâches de rapprochement et de clôture les plus chronophages. L'IA assiste le directeur financier dans le suivi des provisions réglementaires, la gestion de la trésorerie multi-agences et la réponse aux exigences de reporting.</w:t>
            </w:r>
          </w:p>
        </w:tc>
      </w:tr>
      <w:tr>
        <w:tc>
          <w:tcPr>
            <w:tcW w:type="dxa" w:w="4933"/>
            <w:shd w:val="clear" w:color="auto" w:fill="E8F5EE"/>
          </w:tcPr>
          <w:p>
            <w:pPr>
              <w:spacing w:before="40" w:after="40"/>
              <w:jc w:val="center"/>
            </w:pPr>
            <w:r>
              <w:rPr>
                <w:b/>
                <w:color w:val="108A5C"/>
                <w:sz w:val="20"/>
              </w:rPr>
              <w:t>10</w:t>
            </w:r>
          </w:p>
        </w:tc>
        <w:tc>
          <w:tcPr>
            <w:tcW w:type="dxa" w:w="4933"/>
            <w:shd w:val="clear" w:color="auto" w:fill="FFFFFF"/>
          </w:tcPr>
          <w:p>
            <w:pPr>
              <w:spacing w:before="40" w:after="40"/>
              <w:jc w:val="left"/>
            </w:pPr>
            <w:r>
              <w:rPr>
                <w:b/>
                <w:color w:val="0D6E48"/>
                <w:sz w:val="18"/>
              </w:rPr>
              <w:t>Conformité &amp; Audit</w:t>
            </w:r>
          </w:p>
        </w:tc>
        <w:tc>
          <w:tcPr>
            <w:tcW w:type="dxa" w:w="4933"/>
            <w:shd w:val="clear" w:color="auto" w:fill="FFFFFF"/>
          </w:tcPr>
          <w:p>
            <w:pPr>
              <w:spacing w:before="40" w:after="40"/>
            </w:pPr>
            <w:r>
              <w:rPr>
                <w:color w:val="1F2D3D"/>
                <w:sz w:val="18"/>
              </w:rPr>
              <w:t>Prospera surveille en continu le respect des normes réglementaires applicables et génère automatiquement les rapports requis par les autorités de tutelle. Les écarts sont signalés proactivement avec un délai d'action recommandé. L'ensemble des opérations du système est tracé pour faciliter les contrôles internes et externes.</w:t>
            </w:r>
          </w:p>
        </w:tc>
      </w:tr>
      <w:tr>
        <w:tc>
          <w:tcPr>
            <w:tcW w:type="dxa" w:w="4933"/>
            <w:shd w:val="clear" w:color="auto" w:fill="E8F5EE"/>
          </w:tcPr>
          <w:p>
            <w:pPr>
              <w:spacing w:before="40" w:after="40"/>
              <w:jc w:val="center"/>
            </w:pPr>
            <w:r>
              <w:rPr>
                <w:b/>
                <w:color w:val="108A5C"/>
                <w:sz w:val="20"/>
              </w:rPr>
              <w:t>11</w:t>
            </w:r>
          </w:p>
        </w:tc>
        <w:tc>
          <w:tcPr>
            <w:tcW w:type="dxa" w:w="4933"/>
            <w:shd w:val="clear" w:color="auto" w:fill="F4F7F5"/>
          </w:tcPr>
          <w:p>
            <w:pPr>
              <w:spacing w:before="40" w:after="40"/>
              <w:jc w:val="left"/>
            </w:pPr>
            <w:r>
              <w:rPr>
                <w:b/>
                <w:color w:val="0D6E48"/>
                <w:sz w:val="18"/>
              </w:rPr>
              <w:t>Équipes &amp; Réseau d’Agences</w:t>
            </w:r>
          </w:p>
        </w:tc>
        <w:tc>
          <w:tcPr>
            <w:tcW w:type="dxa" w:w="4933"/>
            <w:shd w:val="clear" w:color="auto" w:fill="F4F7F5"/>
          </w:tcPr>
          <w:p>
            <w:pPr>
              <w:spacing w:before="40" w:after="40"/>
            </w:pPr>
            <w:r>
              <w:rPr>
                <w:color w:val="1F2D3D"/>
                <w:sz w:val="18"/>
              </w:rPr>
              <w:t>Prospera donne à chaque niveau hiérarchique une visibilité sur les performances de ses équipes et de ses agences. L'IA identifie les agents en difficulté, compare les comportements entre agences et signale les zones géographiques sous-couvertes.</w:t>
            </w:r>
          </w:p>
        </w:tc>
      </w:tr>
      <w:tr>
        <w:tc>
          <w:tcPr>
            <w:tcW w:type="dxa" w:w="4933"/>
            <w:shd w:val="clear" w:color="auto" w:fill="E8F5EE"/>
          </w:tcPr>
          <w:p>
            <w:pPr>
              <w:spacing w:before="40" w:after="40"/>
              <w:jc w:val="center"/>
            </w:pPr>
            <w:r>
              <w:rPr>
                <w:b/>
                <w:color w:val="108A5C"/>
                <w:sz w:val="20"/>
              </w:rPr>
              <w:t>12</w:t>
            </w:r>
          </w:p>
        </w:tc>
        <w:tc>
          <w:tcPr>
            <w:tcW w:type="dxa" w:w="4933"/>
            <w:shd w:val="clear" w:color="auto" w:fill="FFFFFF"/>
          </w:tcPr>
          <w:p>
            <w:pPr>
              <w:spacing w:before="40" w:after="40"/>
              <w:jc w:val="left"/>
            </w:pPr>
            <w:r>
              <w:rPr>
                <w:b/>
                <w:color w:val="0D6E48"/>
                <w:sz w:val="18"/>
              </w:rPr>
              <w:t>Marketing &amp; Acquisition</w:t>
            </w:r>
          </w:p>
        </w:tc>
        <w:tc>
          <w:tcPr>
            <w:tcW w:type="dxa" w:w="4933"/>
            <w:shd w:val="clear" w:color="auto" w:fill="FFFFFF"/>
          </w:tcPr>
          <w:p>
            <w:pPr>
              <w:spacing w:before="40" w:after="40"/>
            </w:pPr>
            <w:r>
              <w:rPr>
                <w:color w:val="1F2D3D"/>
                <w:sz w:val="18"/>
              </w:rPr>
              <w:t>Le module marketing pilote la captation et la qualification des nouveaux prospects. L'IA sélectionne les cibles les plus pertinentes, oriente les campagnes et mesure leur efficacité en temps réel. Des dispositifs de motivation sont intégrés pour animer les équipes commerciales.</w:t>
            </w:r>
          </w:p>
        </w:tc>
      </w:tr>
      <w:tr>
        <w:tc>
          <w:tcPr>
            <w:tcW w:type="dxa" w:w="4933"/>
            <w:shd w:val="clear" w:color="auto" w:fill="E8F5EE"/>
          </w:tcPr>
          <w:p>
            <w:pPr>
              <w:spacing w:before="40" w:after="40"/>
              <w:jc w:val="center"/>
            </w:pPr>
            <w:r>
              <w:rPr>
                <w:b/>
                <w:color w:val="108A5C"/>
                <w:sz w:val="20"/>
              </w:rPr>
              <w:t>13</w:t>
            </w:r>
          </w:p>
        </w:tc>
        <w:tc>
          <w:tcPr>
            <w:tcW w:type="dxa" w:w="4933"/>
            <w:shd w:val="clear" w:color="auto" w:fill="F4F7F5"/>
          </w:tcPr>
          <w:p>
            <w:pPr>
              <w:spacing w:before="40" w:after="40"/>
              <w:jc w:val="left"/>
            </w:pPr>
            <w:r>
              <w:rPr>
                <w:b/>
                <w:color w:val="0D6E48"/>
                <w:sz w:val="18"/>
              </w:rPr>
              <w:t>Produits Financiers</w:t>
            </w:r>
          </w:p>
        </w:tc>
        <w:tc>
          <w:tcPr>
            <w:tcW w:type="dxa" w:w="4933"/>
            <w:shd w:val="clear" w:color="auto" w:fill="F4F7F5"/>
          </w:tcPr>
          <w:p>
            <w:pPr>
              <w:spacing w:before="40" w:after="40"/>
            </w:pPr>
            <w:r>
              <w:rPr>
                <w:color w:val="1F2D3D"/>
                <w:sz w:val="18"/>
              </w:rPr>
              <w:t>Prospera centralise le catalogue des produits financiers de l'institution et génère automatiquement les conditions de financement adaptées au profil de chaque emprunteur. Les ajustements liés à l'évaluation du risque sont appliqués de manière transparente à chaque dossier.</w:t>
            </w:r>
          </w:p>
        </w:tc>
      </w:tr>
    </w:tbl>
    <w:p>
      <w:r>
        <w:br w:type="page"/>
      </w:r>
    </w:p>
    <w:p>
      <w:pPr>
        <w:spacing w:before="280" w:after="120"/>
      </w:pPr>
      <w:r>
        <w:rPr>
          <w:b/>
          <w:color w:val="108A5C"/>
          <w:sz w:val="26"/>
        </w:rPr>
        <w:t>TABLEAU 3 — Récapitulatif ROI par Module</w:t>
      </w:r>
    </w:p>
    <w:p>
      <w:pPr>
        <w:spacing w:before="40" w:after="160"/>
      </w:pPr>
      <w:r>
        <w:rPr>
          <w:i/>
          <w:color w:val="556655"/>
          <w:sz w:val="17"/>
        </w:rPr>
        <w:t>Note méthodologique — Estimations indicatives basées sur les benchmarks du secteur microfinance en zone UEMOA/CEMAC. Calculées sur le profil d'une IMF type : portefeuille actif 800 M FCFA, 1 200 emprunteurs actifs, 5 agences, PAR 30j initial 11 %. Ces chiffres constituent un ordre de grandeur à adapter selon la taille et le contexte de chaque institution. Ils ne constituent pas une garantie de résultat.</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454"/>
            <w:shd w:val="clear" w:color="auto" w:fill="0D6E48"/>
          </w:tcPr>
          <w:p>
            <w:pPr>
              <w:spacing w:before="40" w:after="40"/>
              <w:jc w:val="center"/>
            </w:pPr>
            <w:r>
              <w:rPr>
                <w:b/>
                <w:color w:val="FFFFFF"/>
                <w:sz w:val="18"/>
              </w:rPr>
              <w:t>#</w:t>
            </w:r>
          </w:p>
        </w:tc>
        <w:tc>
          <w:tcPr>
            <w:tcW w:type="dxa" w:w="2268"/>
            <w:shd w:val="clear" w:color="auto" w:fill="0D6E48"/>
          </w:tcPr>
          <w:p>
            <w:pPr>
              <w:spacing w:before="40" w:after="40"/>
              <w:jc w:val="center"/>
            </w:pPr>
            <w:r>
              <w:rPr>
                <w:b/>
                <w:color w:val="FFFFFF"/>
                <w:sz w:val="18"/>
              </w:rPr>
              <w:t>Module</w:t>
            </w:r>
          </w:p>
        </w:tc>
        <w:tc>
          <w:tcPr>
            <w:tcW w:type="dxa" w:w="5386"/>
            <w:shd w:val="clear" w:color="auto" w:fill="0D6E48"/>
          </w:tcPr>
          <w:p>
            <w:pPr>
              <w:spacing w:before="40" w:after="40"/>
              <w:jc w:val="center"/>
            </w:pPr>
            <w:r>
              <w:rPr>
                <w:b/>
                <w:color w:val="FFFFFF"/>
                <w:sz w:val="18"/>
              </w:rPr>
              <w:t>Levier de valeur</w:t>
            </w:r>
          </w:p>
        </w:tc>
        <w:tc>
          <w:tcPr>
            <w:tcW w:type="dxa" w:w="1587"/>
            <w:shd w:val="clear" w:color="auto" w:fill="0D6E48"/>
          </w:tcPr>
          <w:p>
            <w:pPr>
              <w:spacing w:before="40" w:after="40"/>
              <w:jc w:val="center"/>
            </w:pPr>
            <w:r>
              <w:rPr>
                <w:b/>
                <w:color w:val="FFFFFF"/>
                <w:sz w:val="18"/>
              </w:rPr>
              <w:t>Heures / an</w:t>
            </w:r>
          </w:p>
        </w:tc>
        <w:tc>
          <w:tcPr>
            <w:tcW w:type="dxa" w:w="1984"/>
            <w:shd w:val="clear" w:color="auto" w:fill="0D6E48"/>
          </w:tcPr>
          <w:p>
            <w:pPr>
              <w:spacing w:before="40" w:after="40"/>
              <w:jc w:val="center"/>
            </w:pPr>
            <w:r>
              <w:rPr>
                <w:b/>
                <w:color w:val="FFFFFF"/>
                <w:sz w:val="18"/>
              </w:rPr>
              <w:t>Gain FCFA / an</w:t>
            </w:r>
          </w:p>
        </w:tc>
      </w:tr>
      <w:tr>
        <w:tc>
          <w:tcPr>
            <w:tcW w:type="dxa" w:w="2960"/>
            <w:shd w:val="clear" w:color="auto" w:fill="E8F5EE"/>
          </w:tcPr>
          <w:p>
            <w:pPr>
              <w:spacing w:before="40" w:after="40"/>
              <w:jc w:val="center"/>
            </w:pPr>
            <w:r>
              <w:rPr>
                <w:b/>
                <w:color w:val="108A5C"/>
                <w:sz w:val="18"/>
              </w:rPr>
              <w:t>1</w:t>
            </w:r>
          </w:p>
        </w:tc>
        <w:tc>
          <w:tcPr>
            <w:tcW w:type="dxa" w:w="2960"/>
            <w:shd w:val="clear" w:color="auto" w:fill="F4F7F5"/>
          </w:tcPr>
          <w:p>
            <w:pPr>
              <w:spacing w:before="40" w:after="40"/>
              <w:jc w:val="left"/>
            </w:pPr>
            <w:r>
              <w:rPr>
                <w:b/>
                <w:color w:val="0D6E48"/>
                <w:sz w:val="17"/>
              </w:rPr>
              <w:t>Dashboard &amp; Pilotage</w:t>
            </w:r>
          </w:p>
        </w:tc>
        <w:tc>
          <w:tcPr>
            <w:tcW w:type="dxa" w:w="2960"/>
            <w:shd w:val="clear" w:color="auto" w:fill="F4F7F5"/>
          </w:tcPr>
          <w:p>
            <w:pPr>
              <w:spacing w:before="40" w:after="40"/>
              <w:jc w:val="left"/>
            </w:pPr>
            <w:r>
              <w:rPr>
                <w:b w:val="0"/>
                <w:color w:val="1F2D3D"/>
                <w:sz w:val="17"/>
              </w:rPr>
              <w:t>Décisions plus rapides, alertes précoces, réunions de consolidation éliminées</w:t>
            </w:r>
          </w:p>
        </w:tc>
        <w:tc>
          <w:tcPr>
            <w:tcW w:type="dxa" w:w="2960"/>
            <w:shd w:val="clear" w:color="auto" w:fill="E8F5EE"/>
          </w:tcPr>
          <w:p>
            <w:pPr>
              <w:jc w:val="center"/>
            </w:pPr>
            <w:r>
              <w:rPr>
                <w:b/>
                <w:color w:val="0D6E48"/>
                <w:sz w:val="17"/>
              </w:rPr>
              <w:t>~3 900 h</w:t>
            </w:r>
          </w:p>
        </w:tc>
        <w:tc>
          <w:tcPr>
            <w:tcW w:type="dxa" w:w="2960"/>
            <w:shd w:val="clear" w:color="auto" w:fill="E8F5EE"/>
          </w:tcPr>
          <w:p>
            <w:pPr>
              <w:jc w:val="center"/>
            </w:pPr>
            <w:r>
              <w:rPr>
                <w:b/>
                <w:color w:val="F5A623"/>
                <w:sz w:val="17"/>
              </w:rPr>
              <w:t>8 – 12 M FCFA</w:t>
            </w:r>
          </w:p>
        </w:tc>
      </w:tr>
      <w:tr>
        <w:tc>
          <w:tcPr>
            <w:tcW w:type="dxa" w:w="2960"/>
            <w:shd w:val="clear" w:color="auto" w:fill="E8F5EE"/>
          </w:tcPr>
          <w:p>
            <w:pPr>
              <w:spacing w:before="40" w:after="40"/>
              <w:jc w:val="center"/>
            </w:pPr>
            <w:r>
              <w:rPr>
                <w:b/>
                <w:color w:val="108A5C"/>
                <w:sz w:val="18"/>
              </w:rPr>
              <w:t>2</w:t>
            </w:r>
          </w:p>
        </w:tc>
        <w:tc>
          <w:tcPr>
            <w:tcW w:type="dxa" w:w="2960"/>
            <w:shd w:val="clear" w:color="auto" w:fill="FFFFFF"/>
          </w:tcPr>
          <w:p>
            <w:pPr>
              <w:spacing w:before="40" w:after="40"/>
              <w:jc w:val="left"/>
            </w:pPr>
            <w:r>
              <w:rPr>
                <w:b/>
                <w:color w:val="0D6E48"/>
                <w:sz w:val="17"/>
              </w:rPr>
              <w:t>CRM Clients / Emprunteurs</w:t>
            </w:r>
          </w:p>
        </w:tc>
        <w:tc>
          <w:tcPr>
            <w:tcW w:type="dxa" w:w="2960"/>
            <w:shd w:val="clear" w:color="auto" w:fill="FFFFFF"/>
          </w:tcPr>
          <w:p>
            <w:pPr>
              <w:spacing w:before="40" w:after="40"/>
              <w:jc w:val="left"/>
            </w:pPr>
            <w:r>
              <w:rPr>
                <w:b w:val="0"/>
                <w:color w:val="1F2D3D"/>
                <w:sz w:val="17"/>
              </w:rPr>
              <w:t>Meilleure sélection à l’entrée, réduction défauts nouveaux clients, fidélisation</w:t>
            </w:r>
          </w:p>
        </w:tc>
        <w:tc>
          <w:tcPr>
            <w:tcW w:type="dxa" w:w="2960"/>
            <w:shd w:val="clear" w:color="auto" w:fill="E8F5EE"/>
          </w:tcPr>
          <w:p>
            <w:pPr>
              <w:jc w:val="center"/>
            </w:pPr>
            <w:r>
              <w:rPr>
                <w:b/>
                <w:color w:val="0D6E48"/>
                <w:sz w:val="17"/>
              </w:rPr>
              <w:t>~900 h</w:t>
            </w:r>
          </w:p>
        </w:tc>
        <w:tc>
          <w:tcPr>
            <w:tcW w:type="dxa" w:w="2960"/>
            <w:shd w:val="clear" w:color="auto" w:fill="E8F5EE"/>
          </w:tcPr>
          <w:p>
            <w:pPr>
              <w:jc w:val="center"/>
            </w:pPr>
            <w:r>
              <w:rPr>
                <w:b/>
                <w:color w:val="F5A623"/>
                <w:sz w:val="17"/>
              </w:rPr>
              <w:t>18 – 28 M FCFA</w:t>
            </w:r>
          </w:p>
        </w:tc>
      </w:tr>
      <w:tr>
        <w:tc>
          <w:tcPr>
            <w:tcW w:type="dxa" w:w="2960"/>
            <w:shd w:val="clear" w:color="auto" w:fill="E8F5EE"/>
          </w:tcPr>
          <w:p>
            <w:pPr>
              <w:spacing w:before="40" w:after="40"/>
              <w:jc w:val="center"/>
            </w:pPr>
            <w:r>
              <w:rPr>
                <w:b/>
                <w:color w:val="108A5C"/>
                <w:sz w:val="18"/>
              </w:rPr>
              <w:t>3</w:t>
            </w:r>
          </w:p>
        </w:tc>
        <w:tc>
          <w:tcPr>
            <w:tcW w:type="dxa" w:w="2960"/>
            <w:shd w:val="clear" w:color="auto" w:fill="F4F7F5"/>
          </w:tcPr>
          <w:p>
            <w:pPr>
              <w:spacing w:before="40" w:after="40"/>
              <w:jc w:val="left"/>
            </w:pPr>
            <w:r>
              <w:rPr>
                <w:b/>
                <w:color w:val="0D6E48"/>
                <w:sz w:val="17"/>
              </w:rPr>
              <w:t>Crédit (Pipeline &amp; Dossiers)</w:t>
            </w:r>
          </w:p>
        </w:tc>
        <w:tc>
          <w:tcPr>
            <w:tcW w:type="dxa" w:w="2960"/>
            <w:shd w:val="clear" w:color="auto" w:fill="F4F7F5"/>
          </w:tcPr>
          <w:p>
            <w:pPr>
              <w:spacing w:before="40" w:after="40"/>
              <w:jc w:val="left"/>
            </w:pPr>
            <w:r>
              <w:rPr>
                <w:b w:val="0"/>
                <w:color w:val="1F2D3D"/>
                <w:sz w:val="17"/>
              </w:rPr>
              <w:t>Instruction plus rapide, moins de dossiers en souffrance, approbation mieux calibrée</w:t>
            </w:r>
          </w:p>
        </w:tc>
        <w:tc>
          <w:tcPr>
            <w:tcW w:type="dxa" w:w="2960"/>
            <w:shd w:val="clear" w:color="auto" w:fill="E8F5EE"/>
          </w:tcPr>
          <w:p>
            <w:pPr>
              <w:jc w:val="center"/>
            </w:pPr>
            <w:r>
              <w:rPr>
                <w:b/>
                <w:color w:val="0D6E48"/>
                <w:sz w:val="17"/>
              </w:rPr>
              <w:t>~4 800 h</w:t>
            </w:r>
          </w:p>
        </w:tc>
        <w:tc>
          <w:tcPr>
            <w:tcW w:type="dxa" w:w="2960"/>
            <w:shd w:val="clear" w:color="auto" w:fill="E8F5EE"/>
          </w:tcPr>
          <w:p>
            <w:pPr>
              <w:jc w:val="center"/>
            </w:pPr>
            <w:r>
              <w:rPr>
                <w:b/>
                <w:color w:val="F5A623"/>
                <w:sz w:val="17"/>
              </w:rPr>
              <w:t>20 – 32 M FCFA</w:t>
            </w:r>
          </w:p>
        </w:tc>
      </w:tr>
      <w:tr>
        <w:tc>
          <w:tcPr>
            <w:tcW w:type="dxa" w:w="2960"/>
            <w:shd w:val="clear" w:color="auto" w:fill="E8F5EE"/>
          </w:tcPr>
          <w:p>
            <w:pPr>
              <w:spacing w:before="40" w:after="40"/>
              <w:jc w:val="center"/>
            </w:pPr>
            <w:r>
              <w:rPr>
                <w:b/>
                <w:color w:val="108A5C"/>
                <w:sz w:val="18"/>
              </w:rPr>
              <w:t>4</w:t>
            </w:r>
          </w:p>
        </w:tc>
        <w:tc>
          <w:tcPr>
            <w:tcW w:type="dxa" w:w="2960"/>
            <w:shd w:val="clear" w:color="auto" w:fill="FFFFFF"/>
          </w:tcPr>
          <w:p>
            <w:pPr>
              <w:spacing w:before="40" w:after="40"/>
              <w:jc w:val="left"/>
            </w:pPr>
            <w:r>
              <w:rPr>
                <w:b/>
                <w:color w:val="0D6E48"/>
                <w:sz w:val="17"/>
              </w:rPr>
              <w:t>Recouvrement</w:t>
            </w:r>
          </w:p>
        </w:tc>
        <w:tc>
          <w:tcPr>
            <w:tcW w:type="dxa" w:w="2960"/>
            <w:shd w:val="clear" w:color="auto" w:fill="FFFFFF"/>
          </w:tcPr>
          <w:p>
            <w:pPr>
              <w:spacing w:before="40" w:after="40"/>
              <w:jc w:val="left"/>
            </w:pPr>
            <w:r>
              <w:rPr>
                <w:b w:val="0"/>
                <w:color w:val="1F2D3D"/>
                <w:sz w:val="17"/>
              </w:rPr>
              <w:t>Amélioration taux recouvrement, réduction pertes définitives sur impayés</w:t>
            </w:r>
          </w:p>
        </w:tc>
        <w:tc>
          <w:tcPr>
            <w:tcW w:type="dxa" w:w="2960"/>
            <w:shd w:val="clear" w:color="auto" w:fill="E8F5EE"/>
          </w:tcPr>
          <w:p>
            <w:pPr>
              <w:jc w:val="center"/>
            </w:pPr>
            <w:r>
              <w:rPr>
                <w:b/>
                <w:color w:val="0D6E48"/>
                <w:sz w:val="17"/>
              </w:rPr>
              <w:t>~1 200 h</w:t>
            </w:r>
          </w:p>
        </w:tc>
        <w:tc>
          <w:tcPr>
            <w:tcW w:type="dxa" w:w="2960"/>
            <w:shd w:val="clear" w:color="auto" w:fill="E8F5EE"/>
          </w:tcPr>
          <w:p>
            <w:pPr>
              <w:jc w:val="center"/>
            </w:pPr>
            <w:r>
              <w:rPr>
                <w:b/>
                <w:color w:val="F5A623"/>
                <w:sz w:val="17"/>
              </w:rPr>
              <w:t>35 – 55 M FCFA</w:t>
            </w:r>
          </w:p>
        </w:tc>
      </w:tr>
      <w:tr>
        <w:tc>
          <w:tcPr>
            <w:tcW w:type="dxa" w:w="2960"/>
            <w:shd w:val="clear" w:color="auto" w:fill="E8F5EE"/>
          </w:tcPr>
          <w:p>
            <w:pPr>
              <w:spacing w:before="40" w:after="40"/>
              <w:jc w:val="center"/>
            </w:pPr>
            <w:r>
              <w:rPr>
                <w:b/>
                <w:color w:val="108A5C"/>
                <w:sz w:val="18"/>
              </w:rPr>
              <w:t>5</w:t>
            </w:r>
          </w:p>
        </w:tc>
        <w:tc>
          <w:tcPr>
            <w:tcW w:type="dxa" w:w="2960"/>
            <w:shd w:val="clear" w:color="auto" w:fill="F4F7F5"/>
          </w:tcPr>
          <w:p>
            <w:pPr>
              <w:spacing w:before="40" w:after="40"/>
              <w:jc w:val="left"/>
            </w:pPr>
            <w:r>
              <w:rPr>
                <w:b/>
                <w:color w:val="0D6E48"/>
                <w:sz w:val="17"/>
              </w:rPr>
              <w:t>Terrain (Agents &amp; GPS)</w:t>
            </w:r>
          </w:p>
        </w:tc>
        <w:tc>
          <w:tcPr>
            <w:tcW w:type="dxa" w:w="2960"/>
            <w:shd w:val="clear" w:color="auto" w:fill="F4F7F5"/>
          </w:tcPr>
          <w:p>
            <w:pPr>
              <w:spacing w:before="40" w:after="40"/>
              <w:jc w:val="left"/>
            </w:pPr>
            <w:r>
              <w:rPr>
                <w:b w:val="0"/>
                <w:color w:val="1F2D3D"/>
                <w:sz w:val="17"/>
              </w:rPr>
              <w:t>Visites supplémentaires, collecte terrain augmentée, zéro trajet improductif</w:t>
            </w:r>
          </w:p>
        </w:tc>
        <w:tc>
          <w:tcPr>
            <w:tcW w:type="dxa" w:w="2960"/>
            <w:shd w:val="clear" w:color="auto" w:fill="E8F5EE"/>
          </w:tcPr>
          <w:p>
            <w:pPr>
              <w:jc w:val="center"/>
            </w:pPr>
            <w:r>
              <w:rPr>
                <w:b/>
                <w:color w:val="0D6E48"/>
                <w:sz w:val="17"/>
              </w:rPr>
              <w:t>~1 500 h</w:t>
            </w:r>
          </w:p>
        </w:tc>
        <w:tc>
          <w:tcPr>
            <w:tcW w:type="dxa" w:w="2960"/>
            <w:shd w:val="clear" w:color="auto" w:fill="E8F5EE"/>
          </w:tcPr>
          <w:p>
            <w:pPr>
              <w:jc w:val="center"/>
            </w:pPr>
            <w:r>
              <w:rPr>
                <w:b/>
                <w:color w:val="F5A623"/>
                <w:sz w:val="17"/>
              </w:rPr>
              <w:t>12 – 20 M FCFA</w:t>
            </w:r>
          </w:p>
        </w:tc>
      </w:tr>
      <w:tr>
        <w:tc>
          <w:tcPr>
            <w:tcW w:type="dxa" w:w="2960"/>
            <w:shd w:val="clear" w:color="auto" w:fill="E8F5EE"/>
          </w:tcPr>
          <w:p>
            <w:pPr>
              <w:spacing w:before="40" w:after="40"/>
              <w:jc w:val="center"/>
            </w:pPr>
            <w:r>
              <w:rPr>
                <w:b/>
                <w:color w:val="108A5C"/>
                <w:sz w:val="18"/>
              </w:rPr>
              <w:t>6</w:t>
            </w:r>
          </w:p>
        </w:tc>
        <w:tc>
          <w:tcPr>
            <w:tcW w:type="dxa" w:w="2960"/>
            <w:shd w:val="clear" w:color="auto" w:fill="FFFFFF"/>
          </w:tcPr>
          <w:p>
            <w:pPr>
              <w:spacing w:before="40" w:after="40"/>
              <w:jc w:val="left"/>
            </w:pPr>
            <w:r>
              <w:rPr>
                <w:b/>
                <w:color w:val="0D6E48"/>
                <w:sz w:val="17"/>
              </w:rPr>
              <w:t>Relances Intelligentes</w:t>
            </w:r>
          </w:p>
        </w:tc>
        <w:tc>
          <w:tcPr>
            <w:tcW w:type="dxa" w:w="2960"/>
            <w:shd w:val="clear" w:color="auto" w:fill="FFFFFF"/>
          </w:tcPr>
          <w:p>
            <w:pPr>
              <w:spacing w:before="40" w:after="40"/>
              <w:jc w:val="left"/>
            </w:pPr>
            <w:r>
              <w:rPr>
                <w:b w:val="0"/>
                <w:color w:val="1F2D3D"/>
                <w:sz w:val="17"/>
              </w:rPr>
              <w:t>Réduction PAR par relances anticipées et ciblées, moins de créances irrécouvrables</w:t>
            </w:r>
          </w:p>
        </w:tc>
        <w:tc>
          <w:tcPr>
            <w:tcW w:type="dxa" w:w="2960"/>
            <w:shd w:val="clear" w:color="auto" w:fill="E8F5EE"/>
          </w:tcPr>
          <w:p>
            <w:pPr>
              <w:jc w:val="center"/>
            </w:pPr>
            <w:r>
              <w:rPr>
                <w:b/>
                <w:color w:val="0D6E48"/>
                <w:sz w:val="17"/>
              </w:rPr>
              <w:t>~2 400 h</w:t>
            </w:r>
          </w:p>
        </w:tc>
        <w:tc>
          <w:tcPr>
            <w:tcW w:type="dxa" w:w="2960"/>
            <w:shd w:val="clear" w:color="auto" w:fill="E8F5EE"/>
          </w:tcPr>
          <w:p>
            <w:pPr>
              <w:jc w:val="center"/>
            </w:pPr>
            <w:r>
              <w:rPr>
                <w:b/>
                <w:color w:val="F5A623"/>
                <w:sz w:val="17"/>
              </w:rPr>
              <w:t>22 – 38 M FCFA</w:t>
            </w:r>
          </w:p>
        </w:tc>
      </w:tr>
      <w:tr>
        <w:tc>
          <w:tcPr>
            <w:tcW w:type="dxa" w:w="2960"/>
            <w:shd w:val="clear" w:color="auto" w:fill="E8F5EE"/>
          </w:tcPr>
          <w:p>
            <w:pPr>
              <w:spacing w:before="40" w:after="40"/>
              <w:jc w:val="center"/>
            </w:pPr>
            <w:r>
              <w:rPr>
                <w:b/>
                <w:color w:val="108A5C"/>
                <w:sz w:val="18"/>
              </w:rPr>
              <w:t>7</w:t>
            </w:r>
          </w:p>
        </w:tc>
        <w:tc>
          <w:tcPr>
            <w:tcW w:type="dxa" w:w="2960"/>
            <w:shd w:val="clear" w:color="auto" w:fill="F4F7F5"/>
          </w:tcPr>
          <w:p>
            <w:pPr>
              <w:spacing w:before="40" w:after="40"/>
              <w:jc w:val="left"/>
            </w:pPr>
            <w:r>
              <w:rPr>
                <w:b/>
                <w:color w:val="0D6E48"/>
                <w:sz w:val="17"/>
              </w:rPr>
              <w:t>Caisse &amp; Mobile Money</w:t>
            </w:r>
          </w:p>
        </w:tc>
        <w:tc>
          <w:tcPr>
            <w:tcW w:type="dxa" w:w="2960"/>
            <w:shd w:val="clear" w:color="auto" w:fill="F4F7F5"/>
          </w:tcPr>
          <w:p>
            <w:pPr>
              <w:spacing w:before="40" w:after="40"/>
              <w:jc w:val="left"/>
            </w:pPr>
            <w:r>
              <w:rPr>
                <w:b w:val="0"/>
                <w:color w:val="1F2D3D"/>
                <w:sz w:val="17"/>
              </w:rPr>
              <w:t>Élimination fraude espèces, réconciliation sans erreur, zéro perte MoMo</w:t>
            </w:r>
          </w:p>
        </w:tc>
        <w:tc>
          <w:tcPr>
            <w:tcW w:type="dxa" w:w="2960"/>
            <w:shd w:val="clear" w:color="auto" w:fill="E8F5EE"/>
          </w:tcPr>
          <w:p>
            <w:pPr>
              <w:jc w:val="center"/>
            </w:pPr>
            <w:r>
              <w:rPr>
                <w:b/>
                <w:color w:val="0D6E48"/>
                <w:sz w:val="17"/>
              </w:rPr>
              <w:t>~1 460 h</w:t>
            </w:r>
          </w:p>
        </w:tc>
        <w:tc>
          <w:tcPr>
            <w:tcW w:type="dxa" w:w="2960"/>
            <w:shd w:val="clear" w:color="auto" w:fill="E8F5EE"/>
          </w:tcPr>
          <w:p>
            <w:pPr>
              <w:jc w:val="center"/>
            </w:pPr>
            <w:r>
              <w:rPr>
                <w:b/>
                <w:color w:val="F5A623"/>
                <w:sz w:val="17"/>
              </w:rPr>
              <w:t>15 – 25 M FCFA</w:t>
            </w:r>
          </w:p>
        </w:tc>
      </w:tr>
      <w:tr>
        <w:tc>
          <w:tcPr>
            <w:tcW w:type="dxa" w:w="2960"/>
            <w:shd w:val="clear" w:color="auto" w:fill="E8F5EE"/>
          </w:tcPr>
          <w:p>
            <w:pPr>
              <w:spacing w:before="40" w:after="40"/>
              <w:jc w:val="center"/>
            </w:pPr>
            <w:r>
              <w:rPr>
                <w:b/>
                <w:color w:val="108A5C"/>
                <w:sz w:val="18"/>
              </w:rPr>
              <w:t>8</w:t>
            </w:r>
          </w:p>
        </w:tc>
        <w:tc>
          <w:tcPr>
            <w:tcW w:type="dxa" w:w="2960"/>
            <w:shd w:val="clear" w:color="auto" w:fill="FFFFFF"/>
          </w:tcPr>
          <w:p>
            <w:pPr>
              <w:spacing w:before="40" w:after="40"/>
              <w:jc w:val="left"/>
            </w:pPr>
            <w:r>
              <w:rPr>
                <w:b/>
                <w:color w:val="0D6E48"/>
                <w:sz w:val="17"/>
              </w:rPr>
              <w:t>Épargne</w:t>
            </w:r>
          </w:p>
        </w:tc>
        <w:tc>
          <w:tcPr>
            <w:tcW w:type="dxa" w:w="2960"/>
            <w:shd w:val="clear" w:color="auto" w:fill="FFFFFF"/>
          </w:tcPr>
          <w:p>
            <w:pPr>
              <w:spacing w:before="40" w:after="40"/>
              <w:jc w:val="left"/>
            </w:pPr>
            <w:r>
              <w:rPr>
                <w:b w:val="0"/>
                <w:color w:val="1F2D3D"/>
                <w:sz w:val="17"/>
              </w:rPr>
              <w:t>Rétention épargnants, réactivation comptes dormants, collecte ressources longues</w:t>
            </w:r>
          </w:p>
        </w:tc>
        <w:tc>
          <w:tcPr>
            <w:tcW w:type="dxa" w:w="2960"/>
            <w:shd w:val="clear" w:color="auto" w:fill="E8F5EE"/>
          </w:tcPr>
          <w:p>
            <w:pPr>
              <w:jc w:val="center"/>
            </w:pPr>
            <w:r>
              <w:rPr>
                <w:b/>
                <w:color w:val="0D6E48"/>
                <w:sz w:val="17"/>
              </w:rPr>
              <w:t>~240 h</w:t>
            </w:r>
          </w:p>
        </w:tc>
        <w:tc>
          <w:tcPr>
            <w:tcW w:type="dxa" w:w="2960"/>
            <w:shd w:val="clear" w:color="auto" w:fill="E8F5EE"/>
          </w:tcPr>
          <w:p>
            <w:pPr>
              <w:jc w:val="center"/>
            </w:pPr>
            <w:r>
              <w:rPr>
                <w:b/>
                <w:color w:val="F5A623"/>
                <w:sz w:val="17"/>
              </w:rPr>
              <w:t>3 – 6 M FCFA</w:t>
            </w:r>
          </w:p>
        </w:tc>
      </w:tr>
      <w:tr>
        <w:tc>
          <w:tcPr>
            <w:tcW w:type="dxa" w:w="2960"/>
            <w:shd w:val="clear" w:color="auto" w:fill="E8F5EE"/>
          </w:tcPr>
          <w:p>
            <w:pPr>
              <w:spacing w:before="40" w:after="40"/>
              <w:jc w:val="center"/>
            </w:pPr>
            <w:r>
              <w:rPr>
                <w:b/>
                <w:color w:val="108A5C"/>
                <w:sz w:val="18"/>
              </w:rPr>
              <w:t>9</w:t>
            </w:r>
          </w:p>
        </w:tc>
        <w:tc>
          <w:tcPr>
            <w:tcW w:type="dxa" w:w="2960"/>
            <w:shd w:val="clear" w:color="auto" w:fill="F4F7F5"/>
          </w:tcPr>
          <w:p>
            <w:pPr>
              <w:spacing w:before="40" w:after="40"/>
              <w:jc w:val="left"/>
            </w:pPr>
            <w:r>
              <w:rPr>
                <w:b/>
                <w:color w:val="0D6E48"/>
                <w:sz w:val="17"/>
              </w:rPr>
              <w:t>Finance &amp; Comptabilité</w:t>
            </w:r>
          </w:p>
        </w:tc>
        <w:tc>
          <w:tcPr>
            <w:tcW w:type="dxa" w:w="2960"/>
            <w:shd w:val="clear" w:color="auto" w:fill="F4F7F5"/>
          </w:tcPr>
          <w:p>
            <w:pPr>
              <w:spacing w:before="40" w:after="40"/>
              <w:jc w:val="left"/>
            </w:pPr>
            <w:r>
              <w:rPr>
                <w:b w:val="0"/>
                <w:color w:val="1F2D3D"/>
                <w:sz w:val="17"/>
              </w:rPr>
              <w:t>Provisions optimisées, trésorerie mieux pilotée, réduction coût du risque financier</w:t>
            </w:r>
          </w:p>
        </w:tc>
        <w:tc>
          <w:tcPr>
            <w:tcW w:type="dxa" w:w="2960"/>
            <w:shd w:val="clear" w:color="auto" w:fill="E8F5EE"/>
          </w:tcPr>
          <w:p>
            <w:pPr>
              <w:jc w:val="center"/>
            </w:pPr>
            <w:r>
              <w:rPr>
                <w:b/>
                <w:color w:val="0D6E48"/>
                <w:sz w:val="17"/>
              </w:rPr>
              <w:t>~520 h</w:t>
            </w:r>
          </w:p>
        </w:tc>
        <w:tc>
          <w:tcPr>
            <w:tcW w:type="dxa" w:w="2960"/>
            <w:shd w:val="clear" w:color="auto" w:fill="E8F5EE"/>
          </w:tcPr>
          <w:p>
            <w:pPr>
              <w:jc w:val="center"/>
            </w:pPr>
            <w:r>
              <w:rPr>
                <w:b/>
                <w:color w:val="F5A623"/>
                <w:sz w:val="17"/>
              </w:rPr>
              <w:t>8 – 14 M FCFA</w:t>
            </w:r>
          </w:p>
        </w:tc>
      </w:tr>
      <w:tr>
        <w:tc>
          <w:tcPr>
            <w:tcW w:type="dxa" w:w="2960"/>
            <w:shd w:val="clear" w:color="auto" w:fill="E8F5EE"/>
          </w:tcPr>
          <w:p>
            <w:pPr>
              <w:spacing w:before="40" w:after="40"/>
              <w:jc w:val="center"/>
            </w:pPr>
            <w:r>
              <w:rPr>
                <w:b/>
                <w:color w:val="108A5C"/>
                <w:sz w:val="18"/>
              </w:rPr>
              <w:t>10</w:t>
            </w:r>
          </w:p>
        </w:tc>
        <w:tc>
          <w:tcPr>
            <w:tcW w:type="dxa" w:w="2960"/>
            <w:shd w:val="clear" w:color="auto" w:fill="FFFFFF"/>
          </w:tcPr>
          <w:p>
            <w:pPr>
              <w:spacing w:before="40" w:after="40"/>
              <w:jc w:val="left"/>
            </w:pPr>
            <w:r>
              <w:rPr>
                <w:b/>
                <w:color w:val="0D6E48"/>
                <w:sz w:val="17"/>
              </w:rPr>
              <w:t>Conformité &amp; Audit</w:t>
            </w:r>
          </w:p>
        </w:tc>
        <w:tc>
          <w:tcPr>
            <w:tcW w:type="dxa" w:w="2960"/>
            <w:shd w:val="clear" w:color="auto" w:fill="FFFFFF"/>
          </w:tcPr>
          <w:p>
            <w:pPr>
              <w:spacing w:before="40" w:after="40"/>
              <w:jc w:val="left"/>
            </w:pPr>
            <w:r>
              <w:rPr>
                <w:b w:val="0"/>
                <w:color w:val="1F2D3D"/>
                <w:sz w:val="17"/>
              </w:rPr>
              <w:t>Sanctions évitées, maintien agrément, crédibilité auprès des bailleurs</w:t>
            </w:r>
          </w:p>
        </w:tc>
        <w:tc>
          <w:tcPr>
            <w:tcW w:type="dxa" w:w="2960"/>
            <w:shd w:val="clear" w:color="auto" w:fill="E8F5EE"/>
          </w:tcPr>
          <w:p>
            <w:pPr>
              <w:jc w:val="center"/>
            </w:pPr>
            <w:r>
              <w:rPr>
                <w:b/>
                <w:color w:val="0D6E48"/>
                <w:sz w:val="17"/>
              </w:rPr>
              <w:t>~96 h</w:t>
            </w:r>
          </w:p>
        </w:tc>
        <w:tc>
          <w:tcPr>
            <w:tcW w:type="dxa" w:w="2960"/>
            <w:shd w:val="clear" w:color="auto" w:fill="E8F5EE"/>
          </w:tcPr>
          <w:p>
            <w:pPr>
              <w:jc w:val="center"/>
            </w:pPr>
            <w:r>
              <w:rPr>
                <w:b/>
                <w:color w:val="F5A623"/>
                <w:sz w:val="17"/>
              </w:rPr>
              <w:t>10 – 20 M FCFA</w:t>
            </w:r>
          </w:p>
        </w:tc>
      </w:tr>
      <w:tr>
        <w:tc>
          <w:tcPr>
            <w:tcW w:type="dxa" w:w="2960"/>
            <w:shd w:val="clear" w:color="auto" w:fill="E8F5EE"/>
          </w:tcPr>
          <w:p>
            <w:pPr>
              <w:spacing w:before="40" w:after="40"/>
              <w:jc w:val="center"/>
            </w:pPr>
            <w:r>
              <w:rPr>
                <w:b/>
                <w:color w:val="108A5C"/>
                <w:sz w:val="18"/>
              </w:rPr>
              <w:t>11</w:t>
            </w:r>
          </w:p>
        </w:tc>
        <w:tc>
          <w:tcPr>
            <w:tcW w:type="dxa" w:w="2960"/>
            <w:shd w:val="clear" w:color="auto" w:fill="F4F7F5"/>
          </w:tcPr>
          <w:p>
            <w:pPr>
              <w:spacing w:before="40" w:after="40"/>
              <w:jc w:val="left"/>
            </w:pPr>
            <w:r>
              <w:rPr>
                <w:b/>
                <w:color w:val="0D6E48"/>
                <w:sz w:val="17"/>
              </w:rPr>
              <w:t>Équipes &amp; Réseau d’Agences</w:t>
            </w:r>
          </w:p>
        </w:tc>
        <w:tc>
          <w:tcPr>
            <w:tcW w:type="dxa" w:w="2960"/>
            <w:shd w:val="clear" w:color="auto" w:fill="F4F7F5"/>
          </w:tcPr>
          <w:p>
            <w:pPr>
              <w:spacing w:before="40" w:after="40"/>
              <w:jc w:val="left"/>
            </w:pPr>
            <w:r>
              <w:rPr>
                <w:b w:val="0"/>
                <w:color w:val="1F2D3D"/>
                <w:sz w:val="17"/>
              </w:rPr>
              <w:t>Productivité agents améliorée, coaching ciblé, meilleures pratiques dupliquées</w:t>
            </w:r>
          </w:p>
        </w:tc>
        <w:tc>
          <w:tcPr>
            <w:tcW w:type="dxa" w:w="2960"/>
            <w:shd w:val="clear" w:color="auto" w:fill="E8F5EE"/>
          </w:tcPr>
          <w:p>
            <w:pPr>
              <w:jc w:val="center"/>
            </w:pPr>
            <w:r>
              <w:rPr>
                <w:b/>
                <w:color w:val="0D6E48"/>
                <w:sz w:val="17"/>
              </w:rPr>
              <w:t>~260 h</w:t>
            </w:r>
          </w:p>
        </w:tc>
        <w:tc>
          <w:tcPr>
            <w:tcW w:type="dxa" w:w="2960"/>
            <w:shd w:val="clear" w:color="auto" w:fill="E8F5EE"/>
          </w:tcPr>
          <w:p>
            <w:pPr>
              <w:jc w:val="center"/>
            </w:pPr>
            <w:r>
              <w:rPr>
                <w:b/>
                <w:color w:val="F5A623"/>
                <w:sz w:val="17"/>
              </w:rPr>
              <w:t>6 – 12 M FCFA</w:t>
            </w:r>
          </w:p>
        </w:tc>
      </w:tr>
      <w:tr>
        <w:tc>
          <w:tcPr>
            <w:tcW w:type="dxa" w:w="2960"/>
            <w:shd w:val="clear" w:color="auto" w:fill="E8F5EE"/>
          </w:tcPr>
          <w:p>
            <w:pPr>
              <w:spacing w:before="40" w:after="40"/>
              <w:jc w:val="center"/>
            </w:pPr>
            <w:r>
              <w:rPr>
                <w:b/>
                <w:color w:val="108A5C"/>
                <w:sz w:val="18"/>
              </w:rPr>
              <w:t>12</w:t>
            </w:r>
          </w:p>
        </w:tc>
        <w:tc>
          <w:tcPr>
            <w:tcW w:type="dxa" w:w="2960"/>
            <w:shd w:val="clear" w:color="auto" w:fill="FFFFFF"/>
          </w:tcPr>
          <w:p>
            <w:pPr>
              <w:spacing w:before="40" w:after="40"/>
              <w:jc w:val="left"/>
            </w:pPr>
            <w:r>
              <w:rPr>
                <w:b/>
                <w:color w:val="0D6E48"/>
                <w:sz w:val="17"/>
              </w:rPr>
              <w:t>Marketing &amp; Acquisition</w:t>
            </w:r>
          </w:p>
        </w:tc>
        <w:tc>
          <w:tcPr>
            <w:tcW w:type="dxa" w:w="2960"/>
            <w:shd w:val="clear" w:color="auto" w:fill="FFFFFF"/>
          </w:tcPr>
          <w:p>
            <w:pPr>
              <w:spacing w:before="40" w:after="40"/>
              <w:jc w:val="left"/>
            </w:pPr>
            <w:r>
              <w:rPr>
                <w:b w:val="0"/>
                <w:color w:val="1F2D3D"/>
                <w:sz w:val="17"/>
              </w:rPr>
              <w:t>Nouveaux clients mieux ciblés, coût acquisition réduit, portefeuille actif en hausse</w:t>
            </w:r>
          </w:p>
        </w:tc>
        <w:tc>
          <w:tcPr>
            <w:tcW w:type="dxa" w:w="2960"/>
            <w:shd w:val="clear" w:color="auto" w:fill="E8F5EE"/>
          </w:tcPr>
          <w:p>
            <w:pPr>
              <w:jc w:val="center"/>
            </w:pPr>
            <w:r>
              <w:rPr>
                <w:b/>
                <w:color w:val="0D6E48"/>
                <w:sz w:val="17"/>
              </w:rPr>
              <w:t>~480 h</w:t>
            </w:r>
          </w:p>
        </w:tc>
        <w:tc>
          <w:tcPr>
            <w:tcW w:type="dxa" w:w="2960"/>
            <w:shd w:val="clear" w:color="auto" w:fill="E8F5EE"/>
          </w:tcPr>
          <w:p>
            <w:pPr>
              <w:jc w:val="center"/>
            </w:pPr>
            <w:r>
              <w:rPr>
                <w:b/>
                <w:color w:val="F5A623"/>
                <w:sz w:val="17"/>
              </w:rPr>
              <w:t>10 – 18 M FCFA</w:t>
            </w:r>
          </w:p>
        </w:tc>
      </w:tr>
      <w:tr>
        <w:tc>
          <w:tcPr>
            <w:tcW w:type="dxa" w:w="2960"/>
            <w:shd w:val="clear" w:color="auto" w:fill="E8F5EE"/>
          </w:tcPr>
          <w:p>
            <w:pPr>
              <w:spacing w:before="40" w:after="40"/>
              <w:jc w:val="center"/>
            </w:pPr>
            <w:r>
              <w:rPr>
                <w:b/>
                <w:color w:val="108A5C"/>
                <w:sz w:val="18"/>
              </w:rPr>
              <w:t>13</w:t>
            </w:r>
          </w:p>
        </w:tc>
        <w:tc>
          <w:tcPr>
            <w:tcW w:type="dxa" w:w="2960"/>
            <w:shd w:val="clear" w:color="auto" w:fill="F4F7F5"/>
          </w:tcPr>
          <w:p>
            <w:pPr>
              <w:spacing w:before="40" w:after="40"/>
              <w:jc w:val="left"/>
            </w:pPr>
            <w:r>
              <w:rPr>
                <w:b/>
                <w:color w:val="0D6E48"/>
                <w:sz w:val="17"/>
              </w:rPr>
              <w:t>Produits Financiers</w:t>
            </w:r>
          </w:p>
        </w:tc>
        <w:tc>
          <w:tcPr>
            <w:tcW w:type="dxa" w:w="2960"/>
            <w:shd w:val="clear" w:color="auto" w:fill="F4F7F5"/>
          </w:tcPr>
          <w:p>
            <w:pPr>
              <w:spacing w:before="40" w:after="40"/>
              <w:jc w:val="left"/>
            </w:pPr>
            <w:r>
              <w:rPr>
                <w:b w:val="0"/>
                <w:color w:val="1F2D3D"/>
                <w:sz w:val="17"/>
              </w:rPr>
              <w:t>Marge optimisée par tarification adaptée au risque réel de chaque emprunteur</w:t>
            </w:r>
          </w:p>
        </w:tc>
        <w:tc>
          <w:tcPr>
            <w:tcW w:type="dxa" w:w="2960"/>
            <w:shd w:val="clear" w:color="auto" w:fill="E8F5EE"/>
          </w:tcPr>
          <w:p>
            <w:pPr>
              <w:jc w:val="center"/>
            </w:pPr>
            <w:r>
              <w:rPr>
                <w:b/>
                <w:color w:val="0D6E48"/>
                <w:sz w:val="17"/>
              </w:rPr>
              <w:t>~180 h</w:t>
            </w:r>
          </w:p>
        </w:tc>
        <w:tc>
          <w:tcPr>
            <w:tcW w:type="dxa" w:w="2960"/>
            <w:shd w:val="clear" w:color="auto" w:fill="E8F5EE"/>
          </w:tcPr>
          <w:p>
            <w:pPr>
              <w:jc w:val="center"/>
            </w:pPr>
            <w:r>
              <w:rPr>
                <w:b/>
                <w:color w:val="F5A623"/>
                <w:sz w:val="17"/>
              </w:rPr>
              <w:t>4 – 8 M FCFA</w:t>
            </w:r>
          </w:p>
        </w:tc>
      </w:tr>
      <w:tr>
        <w:tc>
          <w:tcPr>
            <w:tcW w:type="dxa" w:w="2960"/>
            <w:shd w:val="clear" w:color="auto" w:fill="0D6E48"/>
          </w:tcPr>
          <w:p/>
        </w:tc>
        <w:tc>
          <w:tcPr>
            <w:tcW w:type="dxa" w:w="2960"/>
            <w:shd w:val="clear" w:color="auto" w:fill="0D6E48"/>
          </w:tcPr>
          <w:p>
            <w:r>
              <w:rPr>
                <w:b/>
                <w:color w:val="FFFFFF"/>
                <w:sz w:val="18"/>
              </w:rPr>
              <w:t>TOTAL ESTIMÉ</w:t>
            </w:r>
          </w:p>
        </w:tc>
        <w:tc>
          <w:tcPr>
            <w:tcW w:type="dxa" w:w="2960"/>
            <w:shd w:val="clear" w:color="auto" w:fill="0D6E48"/>
          </w:tcPr>
          <w:p/>
        </w:tc>
        <w:tc>
          <w:tcPr>
            <w:tcW w:type="dxa" w:w="2960"/>
            <w:shd w:val="clear" w:color="auto" w:fill="0D6E48"/>
          </w:tcPr>
          <w:p>
            <w:pPr>
              <w:jc w:val="center"/>
            </w:pPr>
            <w:r>
              <w:rPr>
                <w:b/>
                <w:color w:val="FFFFFF"/>
                <w:sz w:val="18"/>
              </w:rPr>
              <w:t>≈ 18 000 h / an</w:t>
            </w:r>
          </w:p>
        </w:tc>
        <w:tc>
          <w:tcPr>
            <w:tcW w:type="dxa" w:w="2960"/>
            <w:shd w:val="clear" w:color="auto" w:fill="0D6E48"/>
          </w:tcPr>
          <w:p>
            <w:pPr>
              <w:jc w:val="center"/>
            </w:pPr>
            <w:r>
              <w:rPr>
                <w:b/>
                <w:color w:val="F5A623"/>
                <w:sz w:val="18"/>
              </w:rPr>
              <w:t>171 – 288 M FCFA / an</w:t>
            </w:r>
          </w:p>
        </w:tc>
      </w:tr>
    </w:tbl>
    <w:p/>
    <w:p>
      <w:pPr>
        <w:spacing w:before="280" w:after="120"/>
      </w:pPr>
      <w:r>
        <w:rPr>
          <w:b/>
          <w:color w:val="108A5C"/>
          <w:sz w:val="26"/>
        </w:rPr>
        <w:t>Hypothèses de calcul</w:t>
      </w:r>
    </w:p>
    <w:tbl>
      <w:tblPr>
        <w:tblStyle w:val="TableGrid"/>
        <w:tblW w:type="auto" w:w="0"/>
        <w:jc w:val="center"/>
        <w:tblLook w:firstColumn="1" w:firstRow="1" w:lastColumn="0" w:lastRow="0" w:noHBand="0" w:noVBand="1" w:val="04A0"/>
      </w:tblPr>
      <w:tblGrid>
        <w:gridCol w:w="7399"/>
        <w:gridCol w:w="7399"/>
      </w:tblGrid>
      <w:tr>
        <w:tc>
          <w:tcPr>
            <w:tcW w:type="dxa" w:w="4535"/>
            <w:shd w:val="clear" w:color="auto" w:fill="0D6E48"/>
          </w:tcPr>
          <w:p>
            <w:pPr>
              <w:spacing w:before="40" w:after="40"/>
              <w:jc w:val="center"/>
            </w:pPr>
            <w:r>
              <w:rPr>
                <w:b/>
                <w:color w:val="FFFFFF"/>
                <w:sz w:val="18"/>
              </w:rPr>
              <w:t>Paramètre</w:t>
            </w:r>
          </w:p>
        </w:tc>
        <w:tc>
          <w:tcPr>
            <w:tcW w:type="dxa" w:w="2835"/>
            <w:shd w:val="clear" w:color="auto" w:fill="0D6E48"/>
          </w:tcPr>
          <w:p>
            <w:pPr>
              <w:spacing w:before="40" w:after="40"/>
              <w:jc w:val="center"/>
            </w:pPr>
            <w:r>
              <w:rPr>
                <w:b/>
                <w:color w:val="FFFFFF"/>
                <w:sz w:val="18"/>
              </w:rPr>
              <w:t>Valeur retenue</w:t>
            </w:r>
          </w:p>
        </w:tc>
      </w:tr>
      <w:tr>
        <w:tc>
          <w:tcPr>
            <w:tcW w:type="dxa" w:w="7399"/>
            <w:shd w:val="clear" w:color="auto" w:fill="F4F7F5"/>
          </w:tcPr>
          <w:p>
            <w:pPr>
              <w:spacing w:before="40" w:after="40"/>
              <w:jc w:val="left"/>
            </w:pPr>
            <w:r>
              <w:rPr>
                <w:b w:val="0"/>
                <w:color w:val="1F2D3D"/>
                <w:sz w:val="18"/>
              </w:rPr>
              <w:t>Portefeuille actif</w:t>
            </w:r>
          </w:p>
        </w:tc>
        <w:tc>
          <w:tcPr>
            <w:tcW w:type="dxa" w:w="7399"/>
            <w:shd w:val="clear" w:color="auto" w:fill="F4F7F5"/>
          </w:tcPr>
          <w:p>
            <w:pPr>
              <w:jc w:val="center"/>
            </w:pPr>
            <w:r>
              <w:rPr>
                <w:b/>
                <w:color w:val="0D6E48"/>
                <w:sz w:val="18"/>
              </w:rPr>
              <w:t>800 M FCFA</w:t>
            </w:r>
          </w:p>
        </w:tc>
      </w:tr>
      <w:tr>
        <w:tc>
          <w:tcPr>
            <w:tcW w:type="dxa" w:w="7399"/>
            <w:shd w:val="clear" w:color="auto" w:fill="FFFFFF"/>
          </w:tcPr>
          <w:p>
            <w:pPr>
              <w:spacing w:before="40" w:after="40"/>
              <w:jc w:val="left"/>
            </w:pPr>
            <w:r>
              <w:rPr>
                <w:b w:val="0"/>
                <w:color w:val="1F2D3D"/>
                <w:sz w:val="18"/>
              </w:rPr>
              <w:t>PAR 30j initial</w:t>
            </w:r>
          </w:p>
        </w:tc>
        <w:tc>
          <w:tcPr>
            <w:tcW w:type="dxa" w:w="7399"/>
            <w:shd w:val="clear" w:color="auto" w:fill="FFFFFF"/>
          </w:tcPr>
          <w:p>
            <w:pPr>
              <w:jc w:val="center"/>
            </w:pPr>
            <w:r>
              <w:rPr>
                <w:b/>
                <w:color w:val="0D6E48"/>
                <w:sz w:val="18"/>
              </w:rPr>
              <w:t>11 %</w:t>
            </w:r>
          </w:p>
        </w:tc>
      </w:tr>
      <w:tr>
        <w:tc>
          <w:tcPr>
            <w:tcW w:type="dxa" w:w="7399"/>
            <w:shd w:val="clear" w:color="auto" w:fill="F4F7F5"/>
          </w:tcPr>
          <w:p>
            <w:pPr>
              <w:spacing w:before="40" w:after="40"/>
              <w:jc w:val="left"/>
            </w:pPr>
            <w:r>
              <w:rPr>
                <w:b w:val="0"/>
                <w:color w:val="1F2D3D"/>
                <w:sz w:val="18"/>
              </w:rPr>
              <w:t>Taux de recouvrement initial</w:t>
            </w:r>
          </w:p>
        </w:tc>
        <w:tc>
          <w:tcPr>
            <w:tcW w:type="dxa" w:w="7399"/>
            <w:shd w:val="clear" w:color="auto" w:fill="F4F7F5"/>
          </w:tcPr>
          <w:p>
            <w:pPr>
              <w:jc w:val="center"/>
            </w:pPr>
            <w:r>
              <w:rPr>
                <w:b/>
                <w:color w:val="0D6E48"/>
                <w:sz w:val="18"/>
              </w:rPr>
              <w:t>72 %</w:t>
            </w:r>
          </w:p>
        </w:tc>
      </w:tr>
      <w:tr>
        <w:tc>
          <w:tcPr>
            <w:tcW w:type="dxa" w:w="7399"/>
            <w:shd w:val="clear" w:color="auto" w:fill="FFFFFF"/>
          </w:tcPr>
          <w:p>
            <w:pPr>
              <w:spacing w:before="40" w:after="40"/>
              <w:jc w:val="left"/>
            </w:pPr>
            <w:r>
              <w:rPr>
                <w:b w:val="0"/>
                <w:color w:val="1F2D3D"/>
                <w:sz w:val="18"/>
              </w:rPr>
              <w:t>Nombre d’agences</w:t>
            </w:r>
          </w:p>
        </w:tc>
        <w:tc>
          <w:tcPr>
            <w:tcW w:type="dxa" w:w="7399"/>
            <w:shd w:val="clear" w:color="auto" w:fill="FFFFFF"/>
          </w:tcPr>
          <w:p>
            <w:pPr>
              <w:jc w:val="center"/>
            </w:pPr>
            <w:r>
              <w:rPr>
                <w:b/>
                <w:color w:val="0D6E48"/>
                <w:sz w:val="18"/>
              </w:rPr>
              <w:t>5</w:t>
            </w:r>
          </w:p>
        </w:tc>
      </w:tr>
      <w:tr>
        <w:tc>
          <w:tcPr>
            <w:tcW w:type="dxa" w:w="7399"/>
            <w:shd w:val="clear" w:color="auto" w:fill="F4F7F5"/>
          </w:tcPr>
          <w:p>
            <w:pPr>
              <w:spacing w:before="40" w:after="40"/>
              <w:jc w:val="left"/>
            </w:pPr>
            <w:r>
              <w:rPr>
                <w:b w:val="0"/>
                <w:color w:val="1F2D3D"/>
                <w:sz w:val="18"/>
              </w:rPr>
              <w:t>Nombre d’agents terrain</w:t>
            </w:r>
          </w:p>
        </w:tc>
        <w:tc>
          <w:tcPr>
            <w:tcW w:type="dxa" w:w="7399"/>
            <w:shd w:val="clear" w:color="auto" w:fill="F4F7F5"/>
          </w:tcPr>
          <w:p>
            <w:pPr>
              <w:jc w:val="center"/>
            </w:pPr>
            <w:r>
              <w:rPr>
                <w:b/>
                <w:color w:val="0D6E48"/>
                <w:sz w:val="18"/>
              </w:rPr>
              <w:t>25</w:t>
            </w:r>
          </w:p>
        </w:tc>
      </w:tr>
      <w:tr>
        <w:tc>
          <w:tcPr>
            <w:tcW w:type="dxa" w:w="7399"/>
            <w:shd w:val="clear" w:color="auto" w:fill="FFFFFF"/>
          </w:tcPr>
          <w:p>
            <w:pPr>
              <w:spacing w:before="40" w:after="40"/>
              <w:jc w:val="left"/>
            </w:pPr>
            <w:r>
              <w:rPr>
                <w:b w:val="0"/>
                <w:color w:val="1F2D3D"/>
                <w:sz w:val="18"/>
              </w:rPr>
              <w:t>Nombre de dossiers traités / mois</w:t>
            </w:r>
          </w:p>
        </w:tc>
        <w:tc>
          <w:tcPr>
            <w:tcW w:type="dxa" w:w="7399"/>
            <w:shd w:val="clear" w:color="auto" w:fill="FFFFFF"/>
          </w:tcPr>
          <w:p>
            <w:pPr>
              <w:jc w:val="center"/>
            </w:pPr>
            <w:r>
              <w:rPr>
                <w:b/>
                <w:color w:val="0D6E48"/>
                <w:sz w:val="18"/>
              </w:rPr>
              <w:t>150</w:t>
            </w:r>
          </w:p>
        </w:tc>
      </w:tr>
      <w:tr>
        <w:tc>
          <w:tcPr>
            <w:tcW w:type="dxa" w:w="7399"/>
            <w:shd w:val="clear" w:color="auto" w:fill="F4F7F5"/>
          </w:tcPr>
          <w:p>
            <w:pPr>
              <w:spacing w:before="40" w:after="40"/>
              <w:jc w:val="left"/>
            </w:pPr>
            <w:r>
              <w:rPr>
                <w:b w:val="0"/>
                <w:color w:val="1F2D3D"/>
                <w:sz w:val="18"/>
              </w:rPr>
              <w:t>Collecte mensuelle espèces / MoMo</w:t>
            </w:r>
          </w:p>
        </w:tc>
        <w:tc>
          <w:tcPr>
            <w:tcW w:type="dxa" w:w="7399"/>
            <w:shd w:val="clear" w:color="auto" w:fill="F4F7F5"/>
          </w:tcPr>
          <w:p>
            <w:pPr>
              <w:jc w:val="center"/>
            </w:pPr>
            <w:r>
              <w:rPr>
                <w:b/>
                <w:color w:val="0D6E48"/>
                <w:sz w:val="18"/>
              </w:rPr>
              <w:t>45 M FCFA</w:t>
            </w:r>
          </w:p>
        </w:tc>
      </w:tr>
      <w:tr>
        <w:tc>
          <w:tcPr>
            <w:tcW w:type="dxa" w:w="7399"/>
            <w:shd w:val="clear" w:color="auto" w:fill="FFFFFF"/>
          </w:tcPr>
          <w:p>
            <w:pPr>
              <w:spacing w:before="40" w:after="40"/>
              <w:jc w:val="left"/>
            </w:pPr>
            <w:r>
              <w:rPr>
                <w:b w:val="0"/>
                <w:color w:val="1F2D3D"/>
                <w:sz w:val="18"/>
              </w:rPr>
              <w:t>Coût horaire moyen équipe cadre</w:t>
            </w:r>
          </w:p>
        </w:tc>
        <w:tc>
          <w:tcPr>
            <w:tcW w:type="dxa" w:w="7399"/>
            <w:shd w:val="clear" w:color="auto" w:fill="FFFFFF"/>
          </w:tcPr>
          <w:p>
            <w:pPr>
              <w:jc w:val="center"/>
            </w:pPr>
            <w:r>
              <w:rPr>
                <w:b/>
                <w:color w:val="0D6E48"/>
                <w:sz w:val="18"/>
              </w:rPr>
              <w:t>2 500 FCFA / h</w:t>
            </w:r>
          </w:p>
        </w:tc>
      </w:tr>
    </w:tbl>
    <w:p/>
    <w:p>
      <w:pPr>
        <w:jc w:val="center"/>
      </w:pPr>
      <w:r>
        <w:rPr>
          <w:i/>
          <w:color w:val="556655"/>
          <w:sz w:val="17"/>
        </w:rPr>
        <w:t>Ces projections sont établies à titre d’illustration pour accompagner la démarche commerciale. Un audit de démarrage permet d’affiner ces estimations à la situation réelle de l’institution cliente.</w:t>
      </w:r>
    </w:p>
    <w:p/>
    <w:p>
      <w:pPr>
        <w:jc w:val="center"/>
      </w:pPr>
      <w:r>
        <w:rPr>
          <w:i/>
          <w:color w:val="99AA99"/>
          <w:sz w:val="16"/>
        </w:rPr>
        <w:t>Document confidentiel — Prospera © 2026</w:t>
      </w:r>
    </w:p>
    <w:sectPr w:rsidR="00FC693F" w:rsidRPr="0006063C" w:rsidSect="00034616">
      <w:pgSz w:w="16838" w:h="11906"/>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