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6E48"/>
          <w:sz w:val="80"/>
        </w:rPr>
        <w:t>PROSPERA</w:t>
      </w:r>
    </w:p>
    <w:p>
      <w:pPr>
        <w:jc w:val="center"/>
      </w:pPr>
      <w:r>
        <w:rPr>
          <w:color w:val="1F2D3D"/>
          <w:sz w:val="28"/>
        </w:rPr>
        <w:t>Solution de Pilotage Commercial AI-Native</w:t>
      </w:r>
    </w:p>
    <w:p/>
    <w:p>
      <w:pPr>
        <w:jc w:val="center"/>
      </w:pPr>
      <w:r>
        <w:rPr>
          <w:b/>
          <w:color w:val="0D6E48"/>
          <w:sz w:val="44"/>
        </w:rPr>
        <w:t>GRILLE TARIFAIRE</w:t>
      </w:r>
    </w:p>
    <w:p>
      <w:pPr>
        <w:jc w:val="center"/>
      </w:pPr>
      <w:r>
        <w:rPr>
          <w:color w:val="1F2D3D"/>
          <w:sz w:val="22"/>
        </w:rPr>
        <w:t>Plateforme AI-Native · Microfinance Africaine</w:t>
      </w:r>
    </w:p>
    <w:p/>
    <w:p>
      <w:pPr>
        <w:jc w:val="center"/>
      </w:pPr>
      <w:r>
        <w:rPr>
          <w:i/>
          <w:color w:val="889988"/>
          <w:sz w:val="18"/>
        </w:rPr>
        <w:t>Version 3.0 — Juin 2026  |  Document confidentiel — Usage interne commercial uniquement</w:t>
      </w:r>
    </w:p>
    <w:p>
      <w:r>
        <w:br w:type="page"/>
      </w:r>
    </w:p>
    <w:p>
      <w:pPr>
        <w:spacing w:before="320" w:after="120"/>
      </w:pPr>
      <w:r>
        <w:rPr>
          <w:b/>
          <w:color w:val="0D6E48"/>
          <w:sz w:val="26"/>
        </w:rPr>
        <w:t>1. OFFRE PLATEFORME COMPLÈTE</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E8F5EE"/>
          </w:tcPr>
          <w:p>
            <w:pPr>
              <w:spacing w:before="40" w:after="40"/>
              <w:jc w:val="left"/>
            </w:pPr>
            <w:r>
              <w:rPr>
                <w:b/>
                <w:i w:val="0"/>
                <w:color w:val="0D6E48"/>
                <w:sz w:val="18"/>
              </w:rPr>
              <w:t>Prix de vente</w:t>
            </w:r>
          </w:p>
        </w:tc>
        <w:tc>
          <w:tcPr>
            <w:tcW w:type="dxa" w:w="6803"/>
            <w:shd w:val="clear" w:color="auto" w:fill="F4F7F5"/>
          </w:tcPr>
          <w:p>
            <w:pPr>
              <w:spacing w:before="40" w:after="40"/>
              <w:jc w:val="left"/>
            </w:pPr>
            <w:r>
              <w:rPr>
                <w:b/>
                <w:i w:val="0"/>
                <w:color w:val="F5A623"/>
                <w:sz w:val="18"/>
              </w:rPr>
              <w:t>65 000 000 FCFA</w:t>
            </w:r>
          </w:p>
        </w:tc>
      </w:tr>
      <w:tr>
        <w:tc>
          <w:tcPr>
            <w:tcW w:type="dxa" w:w="2835"/>
            <w:shd w:val="clear" w:color="auto" w:fill="E8F5EE"/>
          </w:tcPr>
          <w:p>
            <w:pPr>
              <w:spacing w:before="40" w:after="40"/>
              <w:jc w:val="left"/>
            </w:pPr>
            <w:r>
              <w:rPr>
                <w:b/>
                <w:i w:val="0"/>
                <w:color w:val="0D6E48"/>
                <w:sz w:val="18"/>
              </w:rPr>
              <w:t>Ce qui est inclus</w:t>
            </w:r>
          </w:p>
        </w:tc>
        <w:tc>
          <w:tcPr>
            <w:tcW w:type="dxa" w:w="6803"/>
            <w:shd w:val="clear" w:color="auto" w:fill="FFFFFF"/>
          </w:tcPr>
          <w:p>
            <w:pPr>
              <w:spacing w:before="40" w:after="40"/>
              <w:jc w:val="left"/>
            </w:pPr>
            <w:r>
              <w:rPr>
                <w:b w:val="0"/>
                <w:i w:val="0"/>
                <w:color w:val="1F2D3D"/>
                <w:sz w:val="18"/>
              </w:rPr>
              <w:t>13 modules · 15 rôles utilisateurs · IA native (Copilot, Scoring, Alertes, Recouvrement) · Application mobile agents terrain (Google Maps intégré) · Mode Offline-First · WhatsApp &amp; Mobile Money natifs · Déploiement + formation sur site (5 jours)</w:t>
            </w:r>
          </w:p>
        </w:tc>
      </w:tr>
      <w:tr>
        <w:tc>
          <w:tcPr>
            <w:tcW w:type="dxa" w:w="2835"/>
            <w:shd w:val="clear" w:color="auto" w:fill="E8F5EE"/>
          </w:tcPr>
          <w:p>
            <w:pPr>
              <w:spacing w:before="40" w:after="40"/>
              <w:jc w:val="left"/>
            </w:pPr>
            <w:r>
              <w:rPr>
                <w:b/>
                <w:i w:val="0"/>
                <w:color w:val="0D6E48"/>
                <w:sz w:val="18"/>
              </w:rPr>
              <w:t>Maintenance Année 1</w:t>
            </w:r>
          </w:p>
        </w:tc>
        <w:tc>
          <w:tcPr>
            <w:tcW w:type="dxa" w:w="6803"/>
            <w:shd w:val="clear" w:color="auto" w:fill="F4F7F5"/>
          </w:tcPr>
          <w:p>
            <w:pPr>
              <w:spacing w:before="40" w:after="40"/>
              <w:jc w:val="left"/>
            </w:pPr>
            <w:r>
              <w:rPr>
                <w:b/>
                <w:i w:val="0"/>
                <w:color w:val="108A5C"/>
                <w:sz w:val="18"/>
              </w:rPr>
              <w:t>OFFERTE — mises à jour, support, hébergement, évolutions réglementaires BCEAO</w:t>
            </w:r>
          </w:p>
        </w:tc>
      </w:tr>
      <w:tr>
        <w:tc>
          <w:tcPr>
            <w:tcW w:type="dxa" w:w="2835"/>
            <w:shd w:val="clear" w:color="auto" w:fill="E8F5EE"/>
          </w:tcPr>
          <w:p>
            <w:pPr>
              <w:spacing w:before="40" w:after="40"/>
              <w:jc w:val="left"/>
            </w:pPr>
            <w:r>
              <w:rPr>
                <w:b/>
                <w:i w:val="0"/>
                <w:color w:val="0D6E48"/>
                <w:sz w:val="18"/>
              </w:rPr>
              <w:t>Maintenance Année 2+</w:t>
            </w:r>
          </w:p>
        </w:tc>
        <w:tc>
          <w:tcPr>
            <w:tcW w:type="dxa" w:w="6803"/>
            <w:shd w:val="clear" w:color="auto" w:fill="F4F7F5"/>
          </w:tcPr>
          <w:p>
            <w:pPr>
              <w:spacing w:before="40" w:after="40"/>
              <w:jc w:val="left"/>
            </w:pPr>
            <w:r>
              <w:rPr>
                <w:b/>
                <w:i w:val="0"/>
                <w:color w:val="F5A623"/>
                <w:sz w:val="18"/>
              </w:rPr>
              <w:t>3 500 000 FCFA / mois</w:t>
            </w:r>
          </w:p>
        </w:tc>
      </w:tr>
    </w:tbl>
    <w:p>
      <w:r>
        <w:br w:type="page"/>
      </w:r>
    </w:p>
    <w:p>
      <w:pPr>
        <w:spacing w:before="320" w:after="120"/>
      </w:pPr>
      <w:r>
        <w:rPr>
          <w:b/>
          <w:color w:val="0D6E48"/>
          <w:sz w:val="26"/>
        </w:rPr>
        <w:t>2. OFFRES BUNDLE — Accès modulaire</w:t>
      </w:r>
    </w:p>
    <w:p>
      <w:pPr>
        <w:spacing w:before="80" w:after="120"/>
      </w:pPr>
      <w:r>
        <w:rPr>
          <w:i/>
          <w:color w:val="446644"/>
          <w:sz w:val="17"/>
        </w:rPr>
        <w:t>Maintenance Année 1 offerte sur tous les bundles. À partir du 13ème mois : tarif bundle applicable.</w:t>
      </w:r>
    </w:p>
    <w:p>
      <w:pPr>
        <w:spacing w:before="240" w:after="60"/>
      </w:pPr>
      <w:r>
        <w:rPr>
          <w:b/>
          <w:color w:val="108A5C"/>
          <w:sz w:val="22"/>
        </w:rPr>
        <w:t>★ BUNDLE CRÉDIT — Le cœur du métier</w:t>
      </w:r>
    </w:p>
    <w:p>
      <w:pPr>
        <w:spacing w:before="0" w:after="80"/>
      </w:pPr>
      <w:r>
        <w:rPr>
          <w:i/>
          <w:color w:val="557755"/>
          <w:sz w:val="18"/>
        </w:rPr>
        <w:t>Le module fondamental de toute IMF : piloter, évaluer, décaisser avec l’IA.</w:t>
      </w:r>
    </w:p>
    <w:p>
      <w:r>
        <w:rPr>
          <w:b/>
          <w:color w:val="1F2D3D"/>
          <w:sz w:val="18"/>
        </w:rPr>
        <w:t>Modules inclus :</w:t>
      </w:r>
    </w:p>
    <w:p>
      <w:pPr>
        <w:spacing w:before="20" w:after="20"/>
        <w:ind w:left="283"/>
      </w:pPr>
      <w:r>
        <w:rPr>
          <w:color w:val="1F2D3D"/>
          <w:sz w:val="18"/>
        </w:rPr>
        <w:t>•  Dashboard &amp; Pilotage  —  vue réseau, alertes IA, Copilot, drill-down agence → client</w:t>
      </w:r>
    </w:p>
    <w:p>
      <w:pPr>
        <w:spacing w:before="20" w:after="20"/>
        <w:ind w:left="283"/>
      </w:pPr>
      <w:r>
        <w:rPr>
          <w:color w:val="1F2D3D"/>
          <w:sz w:val="18"/>
        </w:rPr>
        <w:t>•  CRM Emprunteurs  —  fiche 360°, KYC, groupes solidaires, score risque IA, carte couverture</w:t>
      </w:r>
    </w:p>
    <w:p>
      <w:pPr>
        <w:spacing w:before="20" w:after="20"/>
        <w:ind w:left="283"/>
      </w:pPr>
      <w:r>
        <w:rPr>
          <w:color w:val="1F2D3D"/>
          <w:sz w:val="18"/>
        </w:rPr>
        <w:t>•  Crédit complet  —  Pipeline Kanban 7 étapes, Scoring IA 0–100, décision APPROUVER / REFUSER / RÉDUIRE, rapport ROC, CBI IA, dossiers mauvais payeurs</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0D6E48"/>
            <w:vAlign w:val="center"/>
          </w:tcPr>
          <w:p>
            <w:pPr>
              <w:spacing w:before="40" w:after="40"/>
              <w:jc w:val="center"/>
            </w:pPr>
            <w:r>
              <w:rPr>
                <w:b/>
                <w:i w:val="0"/>
                <w:color w:val="FFFFFF"/>
                <w:sz w:val="18"/>
              </w:rPr>
              <w:t>Prix / an</w:t>
            </w:r>
          </w:p>
        </w:tc>
        <w:tc>
          <w:tcPr>
            <w:tcW w:type="dxa" w:w="3969"/>
            <w:shd w:val="clear" w:color="auto" w:fill="0D6E48"/>
            <w:vAlign w:val="center"/>
          </w:tcPr>
          <w:p>
            <w:pPr>
              <w:spacing w:before="40" w:after="40"/>
              <w:jc w:val="center"/>
            </w:pPr>
            <w:r>
              <w:rPr>
                <w:b/>
                <w:i w:val="0"/>
                <w:color w:val="FFFFFF"/>
                <w:sz w:val="18"/>
              </w:rPr>
              <w:t>Prix / mois</w:t>
            </w:r>
          </w:p>
        </w:tc>
        <w:tc>
          <w:tcPr>
            <w:tcW w:type="dxa" w:w="3969"/>
            <w:shd w:val="clear" w:color="auto" w:fill="0D6E48"/>
            <w:vAlign w:val="center"/>
          </w:tcPr>
          <w:p>
            <w:pPr>
              <w:spacing w:before="40" w:after="40"/>
              <w:jc w:val="center"/>
            </w:pPr>
            <w:r>
              <w:rPr>
                <w:b/>
                <w:i w:val="0"/>
                <w:color w:val="FFFFFF"/>
                <w:sz w:val="18"/>
              </w:rPr>
              <w:t>Maintenance Y2+ / mois</w:t>
            </w:r>
          </w:p>
        </w:tc>
      </w:tr>
      <w:tr>
        <w:tc>
          <w:tcPr>
            <w:tcW w:type="dxa" w:w="3213"/>
            <w:shd w:val="clear" w:color="auto" w:fill="E8F5EE"/>
          </w:tcPr>
          <w:p>
            <w:pPr>
              <w:spacing w:before="40" w:after="40"/>
              <w:jc w:val="center"/>
            </w:pPr>
            <w:r>
              <w:rPr>
                <w:b/>
                <w:i w:val="0"/>
                <w:color w:val="0D6E48"/>
                <w:sz w:val="20"/>
              </w:rPr>
              <w:t>28 000 000 FCFA</w:t>
            </w:r>
          </w:p>
        </w:tc>
        <w:tc>
          <w:tcPr>
            <w:tcW w:type="dxa" w:w="3213"/>
            <w:shd w:val="clear" w:color="auto" w:fill="E8F5EE"/>
          </w:tcPr>
          <w:p>
            <w:pPr>
              <w:spacing w:before="40" w:after="40"/>
              <w:jc w:val="center"/>
            </w:pPr>
            <w:r>
              <w:rPr>
                <w:b/>
                <w:i w:val="0"/>
                <w:color w:val="0D6E48"/>
                <w:sz w:val="20"/>
              </w:rPr>
              <w:t>2 333 000 FCFA</w:t>
            </w:r>
          </w:p>
        </w:tc>
        <w:tc>
          <w:tcPr>
            <w:tcW w:type="dxa" w:w="3213"/>
            <w:shd w:val="clear" w:color="auto" w:fill="E8F5EE"/>
          </w:tcPr>
          <w:p>
            <w:pPr>
              <w:spacing w:before="40" w:after="40"/>
              <w:jc w:val="center"/>
            </w:pPr>
            <w:r>
              <w:rPr>
                <w:b/>
                <w:i w:val="0"/>
                <w:color w:val="F5A623"/>
                <w:sz w:val="20"/>
              </w:rPr>
              <w:t>3 000 000 FCFA</w:t>
            </w:r>
          </w:p>
        </w:tc>
      </w:tr>
    </w:tbl>
    <w:p/>
    <w:tbl>
      <w:tblPr>
        <w:tblStyle w:val="TableGrid"/>
        <w:tblW w:type="auto" w:w="0"/>
        <w:jc w:val="center"/>
        <w:tblLook w:firstColumn="1" w:firstRow="1" w:lastColumn="0" w:lastRow="0" w:noHBand="0" w:noVBand="1" w:val="04A0"/>
      </w:tblPr>
      <w:tblGrid>
        <w:gridCol w:w="4819"/>
        <w:gridCol w:w="4819"/>
      </w:tblGrid>
      <w:tr>
        <w:tc>
          <w:tcPr>
            <w:tcW w:type="dxa" w:w="5102"/>
            <w:shd w:val="clear" w:color="auto" w:fill="F4F7F5"/>
          </w:tcPr>
          <w:p>
            <w:pPr>
              <w:spacing w:before="40" w:after="40"/>
              <w:jc w:val="left"/>
            </w:pPr>
            <w:r>
              <w:rPr>
                <w:b w:val="0"/>
                <w:i w:val="0"/>
                <w:color w:val="1F2D3D"/>
                <w:sz w:val="18"/>
              </w:rPr>
              <w:t>ROI client estimé / an</w:t>
            </w:r>
          </w:p>
        </w:tc>
        <w:tc>
          <w:tcPr>
            <w:tcW w:type="dxa" w:w="6803"/>
            <w:shd w:val="clear" w:color="auto" w:fill="F4F7F5"/>
          </w:tcPr>
          <w:p>
            <w:pPr>
              <w:spacing w:before="40" w:after="40"/>
              <w:jc w:val="left"/>
            </w:pPr>
            <w:r>
              <w:rPr>
                <w:b/>
                <w:i w:val="0"/>
                <w:color w:val="108A5C"/>
                <w:sz w:val="18"/>
              </w:rPr>
              <w:t>46 – 72 M FCFA</w:t>
            </w:r>
          </w:p>
        </w:tc>
      </w:tr>
      <w:tr>
        <w:tc>
          <w:tcPr>
            <w:tcW w:type="dxa" w:w="5102"/>
            <w:shd w:val="clear" w:color="auto" w:fill="FFFFFF"/>
          </w:tcPr>
          <w:p>
            <w:pPr>
              <w:spacing w:before="40" w:after="40"/>
              <w:jc w:val="left"/>
            </w:pPr>
            <w:r>
              <w:rPr>
                <w:b/>
                <w:i w:val="0"/>
                <w:color w:val="1F2D3D"/>
                <w:sz w:val="18"/>
              </w:rPr>
              <w:t>Retour sur investissement</w:t>
            </w:r>
          </w:p>
        </w:tc>
        <w:tc>
          <w:tcPr>
            <w:tcW w:type="dxa" w:w="6803"/>
            <w:shd w:val="clear" w:color="auto" w:fill="FFFFFF"/>
          </w:tcPr>
          <w:p>
            <w:pPr>
              <w:spacing w:before="40" w:after="40"/>
              <w:jc w:val="left"/>
            </w:pPr>
            <w:r>
              <w:rPr>
                <w:b/>
                <w:i w:val="0"/>
                <w:color w:val="0D6E48"/>
                <w:sz w:val="18"/>
              </w:rPr>
              <w:t>Rentabilisé en 5 à 7 mois</w:t>
            </w:r>
          </w:p>
        </w:tc>
      </w:tr>
    </w:tbl>
    <w:p/>
    <w:p>
      <w:pPr>
        <w:spacing w:before="240" w:after="60"/>
      </w:pPr>
      <w:r>
        <w:rPr>
          <w:b/>
          <w:color w:val="108A5C"/>
          <w:sz w:val="22"/>
        </w:rPr>
        <w:t>BUNDLE TERRAIN &amp; COLLECTE</w:t>
      </w:r>
    </w:p>
    <w:p>
      <w:pPr>
        <w:spacing w:before="0" w:after="80"/>
      </w:pPr>
      <w:r>
        <w:rPr>
          <w:i/>
          <w:color w:val="557755"/>
          <w:sz w:val="18"/>
        </w:rPr>
        <w:t>Pour les IMF dont la force de frappe est sur le terrain : collecte, tournées, relances.</w:t>
      </w:r>
    </w:p>
    <w:p>
      <w:r>
        <w:rPr>
          <w:b/>
          <w:color w:val="1F2D3D"/>
          <w:sz w:val="18"/>
        </w:rPr>
        <w:t>Modules inclus :</w:t>
      </w:r>
    </w:p>
    <w:p>
      <w:pPr>
        <w:spacing w:before="20" w:after="20"/>
        <w:ind w:left="283"/>
      </w:pPr>
      <w:r>
        <w:rPr>
          <w:color w:val="1F2D3D"/>
          <w:sz w:val="18"/>
        </w:rPr>
        <w:t>•  Terrain &amp; Application Mobile Agents  —  GPS Google Maps, missions optimisées IA, mode offline, voice-to-CRM, alerte proximité, rapport soir automatique</w:t>
      </w:r>
    </w:p>
    <w:p>
      <w:pPr>
        <w:spacing w:before="20" w:after="20"/>
        <w:ind w:left="283"/>
      </w:pPr>
      <w:r>
        <w:rPr>
          <w:color w:val="1F2D3D"/>
          <w:sz w:val="18"/>
        </w:rPr>
        <w:t>•  Relances Intelligentes  —  WhatsApp + SMS automatiques, priorisation IA, multi-canal, escalade superviseur</w:t>
      </w:r>
    </w:p>
    <w:p>
      <w:pPr>
        <w:spacing w:before="20" w:after="20"/>
        <w:ind w:left="283"/>
      </w:pPr>
      <w:r>
        <w:rPr>
          <w:color w:val="1F2D3D"/>
          <w:sz w:val="18"/>
        </w:rPr>
        <w:t>•  Caisse &amp; Mobile Money  —  guichet, validation MoMo automatique, réconciliation, registre, vue DG consolidée</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0D6E48"/>
            <w:vAlign w:val="center"/>
          </w:tcPr>
          <w:p>
            <w:pPr>
              <w:spacing w:before="40" w:after="40"/>
              <w:jc w:val="center"/>
            </w:pPr>
            <w:r>
              <w:rPr>
                <w:b/>
                <w:i w:val="0"/>
                <w:color w:val="FFFFFF"/>
                <w:sz w:val="18"/>
              </w:rPr>
              <w:t>Prix / an</w:t>
            </w:r>
          </w:p>
        </w:tc>
        <w:tc>
          <w:tcPr>
            <w:tcW w:type="dxa" w:w="3969"/>
            <w:shd w:val="clear" w:color="auto" w:fill="0D6E48"/>
            <w:vAlign w:val="center"/>
          </w:tcPr>
          <w:p>
            <w:pPr>
              <w:spacing w:before="40" w:after="40"/>
              <w:jc w:val="center"/>
            </w:pPr>
            <w:r>
              <w:rPr>
                <w:b/>
                <w:i w:val="0"/>
                <w:color w:val="FFFFFF"/>
                <w:sz w:val="18"/>
              </w:rPr>
              <w:t>Prix / mois</w:t>
            </w:r>
          </w:p>
        </w:tc>
        <w:tc>
          <w:tcPr>
            <w:tcW w:type="dxa" w:w="3969"/>
            <w:shd w:val="clear" w:color="auto" w:fill="0D6E48"/>
            <w:vAlign w:val="center"/>
          </w:tcPr>
          <w:p>
            <w:pPr>
              <w:spacing w:before="40" w:after="40"/>
              <w:jc w:val="center"/>
            </w:pPr>
            <w:r>
              <w:rPr>
                <w:b/>
                <w:i w:val="0"/>
                <w:color w:val="FFFFFF"/>
                <w:sz w:val="18"/>
              </w:rPr>
              <w:t>Maintenance Y2+ / mois</w:t>
            </w:r>
          </w:p>
        </w:tc>
      </w:tr>
      <w:tr>
        <w:tc>
          <w:tcPr>
            <w:tcW w:type="dxa" w:w="3213"/>
            <w:shd w:val="clear" w:color="auto" w:fill="E8F5EE"/>
          </w:tcPr>
          <w:p>
            <w:pPr>
              <w:spacing w:before="40" w:after="40"/>
              <w:jc w:val="center"/>
            </w:pPr>
            <w:r>
              <w:rPr>
                <w:b/>
                <w:i w:val="0"/>
                <w:color w:val="0D6E48"/>
                <w:sz w:val="20"/>
              </w:rPr>
              <w:t>22 000 000 FCFA</w:t>
            </w:r>
          </w:p>
        </w:tc>
        <w:tc>
          <w:tcPr>
            <w:tcW w:type="dxa" w:w="3213"/>
            <w:shd w:val="clear" w:color="auto" w:fill="E8F5EE"/>
          </w:tcPr>
          <w:p>
            <w:pPr>
              <w:spacing w:before="40" w:after="40"/>
              <w:jc w:val="center"/>
            </w:pPr>
            <w:r>
              <w:rPr>
                <w:b/>
                <w:i w:val="0"/>
                <w:color w:val="0D6E48"/>
                <w:sz w:val="20"/>
              </w:rPr>
              <w:t>1 833 000 FCFA</w:t>
            </w:r>
          </w:p>
        </w:tc>
        <w:tc>
          <w:tcPr>
            <w:tcW w:type="dxa" w:w="3213"/>
            <w:shd w:val="clear" w:color="auto" w:fill="E8F5EE"/>
          </w:tcPr>
          <w:p>
            <w:pPr>
              <w:spacing w:before="40" w:after="40"/>
              <w:jc w:val="center"/>
            </w:pPr>
            <w:r>
              <w:rPr>
                <w:b/>
                <w:i w:val="0"/>
                <w:color w:val="F5A623"/>
                <w:sz w:val="20"/>
              </w:rPr>
              <w:t>2 200 000 FCFA</w:t>
            </w:r>
          </w:p>
        </w:tc>
      </w:tr>
    </w:tbl>
    <w:p/>
    <w:tbl>
      <w:tblPr>
        <w:tblStyle w:val="TableGrid"/>
        <w:tblW w:type="auto" w:w="0"/>
        <w:jc w:val="center"/>
        <w:tblLook w:firstColumn="1" w:firstRow="1" w:lastColumn="0" w:lastRow="0" w:noHBand="0" w:noVBand="1" w:val="04A0"/>
      </w:tblPr>
      <w:tblGrid>
        <w:gridCol w:w="4819"/>
        <w:gridCol w:w="4819"/>
      </w:tblGrid>
      <w:tr>
        <w:tc>
          <w:tcPr>
            <w:tcW w:type="dxa" w:w="5102"/>
            <w:shd w:val="clear" w:color="auto" w:fill="F4F7F5"/>
          </w:tcPr>
          <w:p>
            <w:pPr>
              <w:spacing w:before="40" w:after="40"/>
              <w:jc w:val="left"/>
            </w:pPr>
            <w:r>
              <w:rPr>
                <w:b w:val="0"/>
                <w:i w:val="0"/>
                <w:color w:val="1F2D3D"/>
                <w:sz w:val="18"/>
              </w:rPr>
              <w:t>ROI client estimé / an</w:t>
            </w:r>
          </w:p>
        </w:tc>
        <w:tc>
          <w:tcPr>
            <w:tcW w:type="dxa" w:w="6803"/>
            <w:shd w:val="clear" w:color="auto" w:fill="F4F7F5"/>
          </w:tcPr>
          <w:p>
            <w:pPr>
              <w:spacing w:before="40" w:after="40"/>
              <w:jc w:val="left"/>
            </w:pPr>
            <w:r>
              <w:rPr>
                <w:b/>
                <w:i w:val="0"/>
                <w:color w:val="108A5C"/>
                <w:sz w:val="18"/>
              </w:rPr>
              <w:t>49 – 83 M FCFA</w:t>
            </w:r>
          </w:p>
        </w:tc>
      </w:tr>
      <w:tr>
        <w:tc>
          <w:tcPr>
            <w:tcW w:type="dxa" w:w="5102"/>
            <w:shd w:val="clear" w:color="auto" w:fill="FFFFFF"/>
          </w:tcPr>
          <w:p>
            <w:pPr>
              <w:spacing w:before="40" w:after="40"/>
              <w:jc w:val="left"/>
            </w:pPr>
            <w:r>
              <w:rPr>
                <w:b/>
                <w:i w:val="0"/>
                <w:color w:val="1F2D3D"/>
                <w:sz w:val="18"/>
              </w:rPr>
              <w:t>Retour sur investissement</w:t>
            </w:r>
          </w:p>
        </w:tc>
        <w:tc>
          <w:tcPr>
            <w:tcW w:type="dxa" w:w="6803"/>
            <w:shd w:val="clear" w:color="auto" w:fill="FFFFFF"/>
          </w:tcPr>
          <w:p>
            <w:pPr>
              <w:spacing w:before="40" w:after="40"/>
              <w:jc w:val="left"/>
            </w:pPr>
            <w:r>
              <w:rPr>
                <w:b/>
                <w:i w:val="0"/>
                <w:color w:val="0D6E48"/>
                <w:sz w:val="18"/>
              </w:rPr>
              <w:t>Rentabilisé en 3 à 5 mois</w:t>
            </w:r>
          </w:p>
        </w:tc>
      </w:tr>
    </w:tbl>
    <w:p/>
    <w:p>
      <w:pPr>
        <w:spacing w:before="240" w:after="60"/>
      </w:pPr>
      <w:r>
        <w:rPr>
          <w:b/>
          <w:color w:val="108A5C"/>
          <w:sz w:val="22"/>
        </w:rPr>
        <w:t>BUNDLE RISQUE &amp; CONFORMITÉ</w:t>
      </w:r>
    </w:p>
    <w:p>
      <w:pPr>
        <w:spacing w:before="0" w:after="80"/>
      </w:pPr>
      <w:r>
        <w:rPr>
          <w:i/>
          <w:color w:val="557755"/>
          <w:sz w:val="18"/>
        </w:rPr>
        <w:t>Pour les IMF sous pression réglementaire ou avec un portefeuille dégradé à redresser.</w:t>
      </w:r>
    </w:p>
    <w:p>
      <w:r>
        <w:rPr>
          <w:b/>
          <w:color w:val="1F2D3D"/>
          <w:sz w:val="18"/>
        </w:rPr>
        <w:t>Modules inclus :</w:t>
      </w:r>
    </w:p>
    <w:p>
      <w:pPr>
        <w:spacing w:before="20" w:after="20"/>
        <w:ind w:left="283"/>
      </w:pPr>
      <w:r>
        <w:rPr>
          <w:color w:val="1F2D3D"/>
          <w:sz w:val="18"/>
        </w:rPr>
        <w:t>•  Recouvrement  —  vue réseau ROC, score recouvrement IA, stratégie par agence, fiche mauvais payeur enrichie, dossiers bloqués, BlocAnalyse IA</w:t>
      </w:r>
    </w:p>
    <w:p>
      <w:pPr>
        <w:spacing w:before="20" w:after="20"/>
        <w:ind w:left="283"/>
      </w:pPr>
      <w:r>
        <w:rPr>
          <w:color w:val="1F2D3D"/>
          <w:sz w:val="18"/>
        </w:rPr>
        <w:t>•  Finance &amp; Comptabilité  —  DAF Copilot IA, SYSCOHADA, rapprochements, provisions BCEAO automatiques, trésorerie multi-agences, Expected Loss</w:t>
      </w:r>
    </w:p>
    <w:p>
      <w:pPr>
        <w:spacing w:before="20" w:after="20"/>
        <w:ind w:left="283"/>
      </w:pPr>
      <w:r>
        <w:rPr>
          <w:color w:val="1F2D3D"/>
          <w:sz w:val="18"/>
        </w:rPr>
        <w:t>•  Conformité &amp; Audit  —  ratios BCEAO/UEMOA, score conformité 0–100, rapport officiel auto-généré, traçabilité complète, audit crédit / caisse / agences</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0D6E48"/>
            <w:vAlign w:val="center"/>
          </w:tcPr>
          <w:p>
            <w:pPr>
              <w:spacing w:before="40" w:after="40"/>
              <w:jc w:val="center"/>
            </w:pPr>
            <w:r>
              <w:rPr>
                <w:b/>
                <w:i w:val="0"/>
                <w:color w:val="FFFFFF"/>
                <w:sz w:val="18"/>
              </w:rPr>
              <w:t>Prix / an</w:t>
            </w:r>
          </w:p>
        </w:tc>
        <w:tc>
          <w:tcPr>
            <w:tcW w:type="dxa" w:w="3969"/>
            <w:shd w:val="clear" w:color="auto" w:fill="0D6E48"/>
            <w:vAlign w:val="center"/>
          </w:tcPr>
          <w:p>
            <w:pPr>
              <w:spacing w:before="40" w:after="40"/>
              <w:jc w:val="center"/>
            </w:pPr>
            <w:r>
              <w:rPr>
                <w:b/>
                <w:i w:val="0"/>
                <w:color w:val="FFFFFF"/>
                <w:sz w:val="18"/>
              </w:rPr>
              <w:t>Prix / mois</w:t>
            </w:r>
          </w:p>
        </w:tc>
        <w:tc>
          <w:tcPr>
            <w:tcW w:type="dxa" w:w="3969"/>
            <w:shd w:val="clear" w:color="auto" w:fill="0D6E48"/>
            <w:vAlign w:val="center"/>
          </w:tcPr>
          <w:p>
            <w:pPr>
              <w:spacing w:before="40" w:after="40"/>
              <w:jc w:val="center"/>
            </w:pPr>
            <w:r>
              <w:rPr>
                <w:b/>
                <w:i w:val="0"/>
                <w:color w:val="FFFFFF"/>
                <w:sz w:val="18"/>
              </w:rPr>
              <w:t>Maintenance Y2+ / mois</w:t>
            </w:r>
          </w:p>
        </w:tc>
      </w:tr>
      <w:tr>
        <w:tc>
          <w:tcPr>
            <w:tcW w:type="dxa" w:w="3213"/>
            <w:shd w:val="clear" w:color="auto" w:fill="E8F5EE"/>
          </w:tcPr>
          <w:p>
            <w:pPr>
              <w:spacing w:before="40" w:after="40"/>
              <w:jc w:val="center"/>
            </w:pPr>
            <w:r>
              <w:rPr>
                <w:b/>
                <w:i w:val="0"/>
                <w:color w:val="0D6E48"/>
                <w:sz w:val="20"/>
              </w:rPr>
              <w:t>26 000 000 FCFA</w:t>
            </w:r>
          </w:p>
        </w:tc>
        <w:tc>
          <w:tcPr>
            <w:tcW w:type="dxa" w:w="3213"/>
            <w:shd w:val="clear" w:color="auto" w:fill="E8F5EE"/>
          </w:tcPr>
          <w:p>
            <w:pPr>
              <w:spacing w:before="40" w:after="40"/>
              <w:jc w:val="center"/>
            </w:pPr>
            <w:r>
              <w:rPr>
                <w:b/>
                <w:i w:val="0"/>
                <w:color w:val="0D6E48"/>
                <w:sz w:val="20"/>
              </w:rPr>
              <w:t>2 167 000 FCFA</w:t>
            </w:r>
          </w:p>
        </w:tc>
        <w:tc>
          <w:tcPr>
            <w:tcW w:type="dxa" w:w="3213"/>
            <w:shd w:val="clear" w:color="auto" w:fill="E8F5EE"/>
          </w:tcPr>
          <w:p>
            <w:pPr>
              <w:spacing w:before="40" w:after="40"/>
              <w:jc w:val="center"/>
            </w:pPr>
            <w:r>
              <w:rPr>
                <w:b/>
                <w:i w:val="0"/>
                <w:color w:val="F5A623"/>
                <w:sz w:val="20"/>
              </w:rPr>
              <w:t>2 500 000 FCFA</w:t>
            </w:r>
          </w:p>
        </w:tc>
      </w:tr>
    </w:tbl>
    <w:p/>
    <w:tbl>
      <w:tblPr>
        <w:tblStyle w:val="TableGrid"/>
        <w:tblW w:type="auto" w:w="0"/>
        <w:jc w:val="center"/>
        <w:tblLook w:firstColumn="1" w:firstRow="1" w:lastColumn="0" w:lastRow="0" w:noHBand="0" w:noVBand="1" w:val="04A0"/>
      </w:tblPr>
      <w:tblGrid>
        <w:gridCol w:w="4819"/>
        <w:gridCol w:w="4819"/>
      </w:tblGrid>
      <w:tr>
        <w:tc>
          <w:tcPr>
            <w:tcW w:type="dxa" w:w="5102"/>
            <w:shd w:val="clear" w:color="auto" w:fill="F4F7F5"/>
          </w:tcPr>
          <w:p>
            <w:pPr>
              <w:spacing w:before="40" w:after="40"/>
              <w:jc w:val="left"/>
            </w:pPr>
            <w:r>
              <w:rPr>
                <w:b w:val="0"/>
                <w:i w:val="0"/>
                <w:color w:val="1F2D3D"/>
                <w:sz w:val="18"/>
              </w:rPr>
              <w:t>ROI client estimé / an</w:t>
            </w:r>
          </w:p>
        </w:tc>
        <w:tc>
          <w:tcPr>
            <w:tcW w:type="dxa" w:w="6803"/>
            <w:shd w:val="clear" w:color="auto" w:fill="F4F7F5"/>
          </w:tcPr>
          <w:p>
            <w:pPr>
              <w:spacing w:before="40" w:after="40"/>
              <w:jc w:val="left"/>
            </w:pPr>
            <w:r>
              <w:rPr>
                <w:b/>
                <w:i w:val="0"/>
                <w:color w:val="108A5C"/>
                <w:sz w:val="18"/>
              </w:rPr>
              <w:t>53 – 89 M FCFA</w:t>
            </w:r>
          </w:p>
        </w:tc>
      </w:tr>
      <w:tr>
        <w:tc>
          <w:tcPr>
            <w:tcW w:type="dxa" w:w="5102"/>
            <w:shd w:val="clear" w:color="auto" w:fill="FFFFFF"/>
          </w:tcPr>
          <w:p>
            <w:pPr>
              <w:spacing w:before="40" w:after="40"/>
              <w:jc w:val="left"/>
            </w:pPr>
            <w:r>
              <w:rPr>
                <w:b/>
                <w:i w:val="0"/>
                <w:color w:val="1F2D3D"/>
                <w:sz w:val="18"/>
              </w:rPr>
              <w:t>Retour sur investissement</w:t>
            </w:r>
          </w:p>
        </w:tc>
        <w:tc>
          <w:tcPr>
            <w:tcW w:type="dxa" w:w="6803"/>
            <w:shd w:val="clear" w:color="auto" w:fill="FFFFFF"/>
          </w:tcPr>
          <w:p>
            <w:pPr>
              <w:spacing w:before="40" w:after="40"/>
              <w:jc w:val="left"/>
            </w:pPr>
            <w:r>
              <w:rPr>
                <w:b/>
                <w:i w:val="0"/>
                <w:color w:val="0D6E48"/>
                <w:sz w:val="18"/>
              </w:rPr>
              <w:t>Rentabilisé en 3 à 6 mois</w:t>
            </w:r>
          </w:p>
        </w:tc>
      </w:tr>
    </w:tbl>
    <w:p/>
    <w:p>
      <w:pPr>
        <w:spacing w:before="240" w:after="60"/>
      </w:pPr>
      <w:r>
        <w:rPr>
          <w:b/>
          <w:color w:val="108A5C"/>
          <w:sz w:val="22"/>
        </w:rPr>
        <w:t>BUNDLE CROISSANCE &amp; OPÉRATIONS</w:t>
      </w:r>
    </w:p>
    <w:p>
      <w:pPr>
        <w:spacing w:before="0" w:after="80"/>
      </w:pPr>
      <w:r>
        <w:rPr>
          <w:i/>
          <w:color w:val="557755"/>
          <w:sz w:val="18"/>
        </w:rPr>
        <w:t>Pour les IMF en phase d’expansion : nouveaux clients, épargne, réseau d’agences.</w:t>
      </w:r>
    </w:p>
    <w:p>
      <w:r>
        <w:rPr>
          <w:b/>
          <w:color w:val="1F2D3D"/>
          <w:sz w:val="18"/>
        </w:rPr>
        <w:t>Modules inclus :</w:t>
      </w:r>
    </w:p>
    <w:p>
      <w:pPr>
        <w:spacing w:before="20" w:after="20"/>
        <w:ind w:left="283"/>
      </w:pPr>
      <w:r>
        <w:rPr>
          <w:color w:val="1F2D3D"/>
          <w:sz w:val="18"/>
        </w:rPr>
        <w:t>•  Marketing &amp; Acquisition  —  chatbot WhatsApp leads IA, scoring prospects, segmentation, campagnes, défis commerciaux gamifiés</w:t>
      </w:r>
    </w:p>
    <w:p>
      <w:pPr>
        <w:spacing w:before="20" w:after="20"/>
        <w:ind w:left="283"/>
      </w:pPr>
      <w:r>
        <w:rPr>
          <w:color w:val="1F2D3D"/>
          <w:sz w:val="18"/>
        </w:rPr>
        <w:t>•  Épargne  —  comptes individuels &amp; collectifs, détection comptes dormants IA, recommandation produits, vue DG consolidée</w:t>
      </w:r>
    </w:p>
    <w:p>
      <w:pPr>
        <w:spacing w:before="20" w:after="20"/>
        <w:ind w:left="283"/>
      </w:pPr>
      <w:r>
        <w:rPr>
          <w:color w:val="1F2D3D"/>
          <w:sz w:val="18"/>
        </w:rPr>
        <w:t>•  Équipes &amp; Réseau d’Agences  —  fiche agent, KPIs, carte zones, performance gap IA, benchmarking inter-agences, coaching IA</w:t>
      </w:r>
    </w:p>
    <w:p>
      <w:pPr>
        <w:spacing w:before="20" w:after="20"/>
        <w:ind w:left="283"/>
      </w:pPr>
      <w:r>
        <w:rPr>
          <w:color w:val="1F2D3D"/>
          <w:sz w:val="18"/>
        </w:rPr>
        <w:t>•  Produits Financiers  —  catalogue, échéancier builder IA, conditions finales adaptées au score</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0D6E48"/>
            <w:vAlign w:val="center"/>
          </w:tcPr>
          <w:p>
            <w:pPr>
              <w:spacing w:before="40" w:after="40"/>
              <w:jc w:val="center"/>
            </w:pPr>
            <w:r>
              <w:rPr>
                <w:b/>
                <w:i w:val="0"/>
                <w:color w:val="FFFFFF"/>
                <w:sz w:val="18"/>
              </w:rPr>
              <w:t>Prix / an</w:t>
            </w:r>
          </w:p>
        </w:tc>
        <w:tc>
          <w:tcPr>
            <w:tcW w:type="dxa" w:w="3969"/>
            <w:shd w:val="clear" w:color="auto" w:fill="0D6E48"/>
            <w:vAlign w:val="center"/>
          </w:tcPr>
          <w:p>
            <w:pPr>
              <w:spacing w:before="40" w:after="40"/>
              <w:jc w:val="center"/>
            </w:pPr>
            <w:r>
              <w:rPr>
                <w:b/>
                <w:i w:val="0"/>
                <w:color w:val="FFFFFF"/>
                <w:sz w:val="18"/>
              </w:rPr>
              <w:t>Prix / mois</w:t>
            </w:r>
          </w:p>
        </w:tc>
        <w:tc>
          <w:tcPr>
            <w:tcW w:type="dxa" w:w="3969"/>
            <w:shd w:val="clear" w:color="auto" w:fill="0D6E48"/>
            <w:vAlign w:val="center"/>
          </w:tcPr>
          <w:p>
            <w:pPr>
              <w:spacing w:before="40" w:after="40"/>
              <w:jc w:val="center"/>
            </w:pPr>
            <w:r>
              <w:rPr>
                <w:b/>
                <w:i w:val="0"/>
                <w:color w:val="FFFFFF"/>
                <w:sz w:val="18"/>
              </w:rPr>
              <w:t>Maintenance Y2+ / mois</w:t>
            </w:r>
          </w:p>
        </w:tc>
      </w:tr>
      <w:tr>
        <w:tc>
          <w:tcPr>
            <w:tcW w:type="dxa" w:w="3213"/>
            <w:shd w:val="clear" w:color="auto" w:fill="E8F5EE"/>
          </w:tcPr>
          <w:p>
            <w:pPr>
              <w:spacing w:before="40" w:after="40"/>
              <w:jc w:val="center"/>
            </w:pPr>
            <w:r>
              <w:rPr>
                <w:b/>
                <w:i w:val="0"/>
                <w:color w:val="0D6E48"/>
                <w:sz w:val="20"/>
              </w:rPr>
              <w:t>16 000 000 FCFA</w:t>
            </w:r>
          </w:p>
        </w:tc>
        <w:tc>
          <w:tcPr>
            <w:tcW w:type="dxa" w:w="3213"/>
            <w:shd w:val="clear" w:color="auto" w:fill="E8F5EE"/>
          </w:tcPr>
          <w:p>
            <w:pPr>
              <w:spacing w:before="40" w:after="40"/>
              <w:jc w:val="center"/>
            </w:pPr>
            <w:r>
              <w:rPr>
                <w:b/>
                <w:i w:val="0"/>
                <w:color w:val="0D6E48"/>
                <w:sz w:val="20"/>
              </w:rPr>
              <w:t>1 333 000 FCFA</w:t>
            </w:r>
          </w:p>
        </w:tc>
        <w:tc>
          <w:tcPr>
            <w:tcW w:type="dxa" w:w="3213"/>
            <w:shd w:val="clear" w:color="auto" w:fill="E8F5EE"/>
          </w:tcPr>
          <w:p>
            <w:pPr>
              <w:spacing w:before="40" w:after="40"/>
              <w:jc w:val="center"/>
            </w:pPr>
            <w:r>
              <w:rPr>
                <w:b/>
                <w:i w:val="0"/>
                <w:color w:val="F5A623"/>
                <w:sz w:val="20"/>
              </w:rPr>
              <w:t>1 500 000 FCFA</w:t>
            </w:r>
          </w:p>
        </w:tc>
      </w:tr>
    </w:tbl>
    <w:p/>
    <w:tbl>
      <w:tblPr>
        <w:tblStyle w:val="TableGrid"/>
        <w:tblW w:type="auto" w:w="0"/>
        <w:jc w:val="center"/>
        <w:tblLook w:firstColumn="1" w:firstRow="1" w:lastColumn="0" w:lastRow="0" w:noHBand="0" w:noVBand="1" w:val="04A0"/>
      </w:tblPr>
      <w:tblGrid>
        <w:gridCol w:w="4819"/>
        <w:gridCol w:w="4819"/>
      </w:tblGrid>
      <w:tr>
        <w:tc>
          <w:tcPr>
            <w:tcW w:type="dxa" w:w="5102"/>
            <w:shd w:val="clear" w:color="auto" w:fill="F4F7F5"/>
          </w:tcPr>
          <w:p>
            <w:pPr>
              <w:spacing w:before="40" w:after="40"/>
              <w:jc w:val="left"/>
            </w:pPr>
            <w:r>
              <w:rPr>
                <w:b w:val="0"/>
                <w:i w:val="0"/>
                <w:color w:val="1F2D3D"/>
                <w:sz w:val="18"/>
              </w:rPr>
              <w:t>ROI client estimé / an</w:t>
            </w:r>
          </w:p>
        </w:tc>
        <w:tc>
          <w:tcPr>
            <w:tcW w:type="dxa" w:w="6803"/>
            <w:shd w:val="clear" w:color="auto" w:fill="F4F7F5"/>
          </w:tcPr>
          <w:p>
            <w:pPr>
              <w:spacing w:before="40" w:after="40"/>
              <w:jc w:val="left"/>
            </w:pPr>
            <w:r>
              <w:rPr>
                <w:b/>
                <w:i w:val="0"/>
                <w:color w:val="108A5C"/>
                <w:sz w:val="18"/>
              </w:rPr>
              <w:t>23 – 44 M FCFA</w:t>
            </w:r>
          </w:p>
        </w:tc>
      </w:tr>
      <w:tr>
        <w:tc>
          <w:tcPr>
            <w:tcW w:type="dxa" w:w="5102"/>
            <w:shd w:val="clear" w:color="auto" w:fill="FFFFFF"/>
          </w:tcPr>
          <w:p>
            <w:pPr>
              <w:spacing w:before="40" w:after="40"/>
              <w:jc w:val="left"/>
            </w:pPr>
            <w:r>
              <w:rPr>
                <w:b/>
                <w:i w:val="0"/>
                <w:color w:val="1F2D3D"/>
                <w:sz w:val="18"/>
              </w:rPr>
              <w:t>Retour sur investissement</w:t>
            </w:r>
          </w:p>
        </w:tc>
        <w:tc>
          <w:tcPr>
            <w:tcW w:type="dxa" w:w="6803"/>
            <w:shd w:val="clear" w:color="auto" w:fill="FFFFFF"/>
          </w:tcPr>
          <w:p>
            <w:pPr>
              <w:spacing w:before="40" w:after="40"/>
              <w:jc w:val="left"/>
            </w:pPr>
            <w:r>
              <w:rPr>
                <w:b/>
                <w:i w:val="0"/>
                <w:color w:val="0D6E48"/>
                <w:sz w:val="18"/>
              </w:rPr>
              <w:t>Rentabilisé en 4 à 8 mois</w:t>
            </w:r>
          </w:p>
        </w:tc>
      </w:tr>
    </w:tbl>
    <w:p>
      <w:r>
        <w:br w:type="page"/>
      </w:r>
    </w:p>
    <w:p>
      <w:pPr>
        <w:spacing w:before="320" w:after="120"/>
      </w:pPr>
      <w:r>
        <w:rPr>
          <w:b/>
          <w:color w:val="0D6E48"/>
          <w:sz w:val="26"/>
        </w:rPr>
        <w:t>3. SYNTHÈSE DES OFFRES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51"/>
            <w:shd w:val="clear" w:color="auto" w:fill="0D6E48"/>
            <w:vAlign w:val="center"/>
          </w:tcPr>
          <w:p>
            <w:pPr>
              <w:spacing w:before="40" w:after="40"/>
              <w:jc w:val="center"/>
            </w:pPr>
            <w:r>
              <w:rPr>
                <w:b/>
                <w:i w:val="0"/>
                <w:color w:val="FFFFFF"/>
                <w:sz w:val="18"/>
              </w:rPr>
              <w:t>Offre</w:t>
            </w:r>
          </w:p>
        </w:tc>
        <w:tc>
          <w:tcPr>
            <w:tcW w:type="dxa" w:w="1984"/>
            <w:shd w:val="clear" w:color="auto" w:fill="0D6E48"/>
            <w:vAlign w:val="center"/>
          </w:tcPr>
          <w:p>
            <w:pPr>
              <w:spacing w:before="40" w:after="40"/>
              <w:jc w:val="center"/>
            </w:pPr>
            <w:r>
              <w:rPr>
                <w:b/>
                <w:i w:val="0"/>
                <w:color w:val="FFFFFF"/>
                <w:sz w:val="18"/>
              </w:rPr>
              <w:t>Prix / an</w:t>
            </w:r>
          </w:p>
        </w:tc>
        <w:tc>
          <w:tcPr>
            <w:tcW w:type="dxa" w:w="2154"/>
            <w:shd w:val="clear" w:color="auto" w:fill="0D6E48"/>
            <w:vAlign w:val="center"/>
          </w:tcPr>
          <w:p>
            <w:pPr>
              <w:spacing w:before="40" w:after="40"/>
              <w:jc w:val="center"/>
            </w:pPr>
            <w:r>
              <w:rPr>
                <w:b/>
                <w:i w:val="0"/>
                <w:color w:val="FFFFFF"/>
                <w:sz w:val="18"/>
              </w:rPr>
              <w:t>Maintenance Y2+ / mois</w:t>
            </w:r>
          </w:p>
        </w:tc>
        <w:tc>
          <w:tcPr>
            <w:tcW w:type="dxa" w:w="1984"/>
            <w:shd w:val="clear" w:color="auto" w:fill="0D6E48"/>
            <w:vAlign w:val="center"/>
          </w:tcPr>
          <w:p>
            <w:pPr>
              <w:spacing w:before="40" w:after="40"/>
              <w:jc w:val="center"/>
            </w:pPr>
            <w:r>
              <w:rPr>
                <w:b/>
                <w:i w:val="0"/>
                <w:color w:val="FFFFFF"/>
                <w:sz w:val="18"/>
              </w:rPr>
              <w:t>ROI client / an</w:t>
            </w:r>
          </w:p>
        </w:tc>
        <w:tc>
          <w:tcPr>
            <w:tcW w:type="dxa" w:w="1020"/>
            <w:shd w:val="clear" w:color="auto" w:fill="0D6E48"/>
            <w:vAlign w:val="center"/>
          </w:tcPr>
          <w:p>
            <w:pPr>
              <w:spacing w:before="40" w:after="40"/>
              <w:jc w:val="center"/>
            </w:pPr>
            <w:r>
              <w:rPr>
                <w:b/>
                <w:i w:val="0"/>
                <w:color w:val="FFFFFF"/>
                <w:sz w:val="18"/>
              </w:rPr>
              <w:t>Payback</w:t>
            </w:r>
          </w:p>
        </w:tc>
      </w:tr>
      <w:tr>
        <w:tc>
          <w:tcPr>
            <w:tcW w:type="dxa" w:w="1928"/>
            <w:shd w:val="clear" w:color="auto" w:fill="E8F5EE"/>
          </w:tcPr>
          <w:p>
            <w:pPr>
              <w:spacing w:before="40" w:after="40"/>
              <w:jc w:val="left"/>
            </w:pPr>
            <w:r>
              <w:rPr>
                <w:b/>
                <w:i w:val="0"/>
                <w:color w:val="0D6E48"/>
                <w:sz w:val="17"/>
              </w:rPr>
              <w:t>Plateforme Complète</w:t>
            </w:r>
          </w:p>
        </w:tc>
        <w:tc>
          <w:tcPr>
            <w:tcW w:type="dxa" w:w="1928"/>
            <w:shd w:val="clear" w:color="auto" w:fill="F4F7F5"/>
          </w:tcPr>
          <w:p>
            <w:pPr>
              <w:spacing w:before="40" w:after="40"/>
              <w:jc w:val="center"/>
            </w:pPr>
            <w:r>
              <w:rPr>
                <w:b/>
                <w:i w:val="0"/>
                <w:color w:val="0D6E48"/>
                <w:sz w:val="17"/>
              </w:rPr>
              <w:t>65 000 000 FCFA</w:t>
            </w:r>
          </w:p>
        </w:tc>
        <w:tc>
          <w:tcPr>
            <w:tcW w:type="dxa" w:w="1928"/>
            <w:shd w:val="clear" w:color="auto" w:fill="F4F7F5"/>
          </w:tcPr>
          <w:p>
            <w:pPr>
              <w:spacing w:before="40" w:after="40"/>
              <w:jc w:val="center"/>
            </w:pPr>
            <w:r>
              <w:rPr>
                <w:b/>
                <w:i w:val="0"/>
                <w:color w:val="F5A623"/>
                <w:sz w:val="17"/>
              </w:rPr>
              <w:t>3 500 000 FCFA</w:t>
            </w:r>
          </w:p>
        </w:tc>
        <w:tc>
          <w:tcPr>
            <w:tcW w:type="dxa" w:w="1928"/>
            <w:shd w:val="clear" w:color="auto" w:fill="F4F7F5"/>
          </w:tcPr>
          <w:p>
            <w:pPr>
              <w:spacing w:before="40" w:after="40"/>
              <w:jc w:val="center"/>
            </w:pPr>
            <w:r>
              <w:rPr>
                <w:b w:val="0"/>
                <w:i w:val="0"/>
                <w:color w:val="1F2D3D"/>
                <w:sz w:val="17"/>
              </w:rPr>
              <w:t>171 – 288 M FCFA</w:t>
            </w:r>
          </w:p>
        </w:tc>
        <w:tc>
          <w:tcPr>
            <w:tcW w:type="dxa" w:w="1928"/>
            <w:shd w:val="clear" w:color="auto" w:fill="F4F7F5"/>
          </w:tcPr>
          <w:p>
            <w:pPr>
              <w:spacing w:before="40" w:after="40"/>
              <w:jc w:val="center"/>
            </w:pPr>
            <w:r>
              <w:rPr>
                <w:b w:val="0"/>
                <w:i w:val="0"/>
                <w:color w:val="108A5C"/>
                <w:sz w:val="17"/>
              </w:rPr>
              <w:t>&lt; 6 mois</w:t>
            </w:r>
          </w:p>
        </w:tc>
      </w:tr>
      <w:tr>
        <w:tc>
          <w:tcPr>
            <w:tcW w:type="dxa" w:w="1928"/>
            <w:shd w:val="clear" w:color="auto" w:fill="E8F5EE"/>
          </w:tcPr>
          <w:p>
            <w:pPr>
              <w:spacing w:before="40" w:after="40"/>
              <w:jc w:val="left"/>
            </w:pPr>
            <w:r>
              <w:rPr>
                <w:b/>
                <w:i w:val="0"/>
                <w:color w:val="0D6E48"/>
                <w:sz w:val="17"/>
              </w:rPr>
              <w:t>Bundle Crédit</w:t>
            </w:r>
          </w:p>
        </w:tc>
        <w:tc>
          <w:tcPr>
            <w:tcW w:type="dxa" w:w="1928"/>
            <w:shd w:val="clear" w:color="auto" w:fill="FFFFFF"/>
          </w:tcPr>
          <w:p>
            <w:pPr>
              <w:spacing w:before="40" w:after="40"/>
              <w:jc w:val="center"/>
            </w:pPr>
            <w:r>
              <w:rPr>
                <w:b/>
                <w:i w:val="0"/>
                <w:color w:val="0D6E48"/>
                <w:sz w:val="17"/>
              </w:rPr>
              <w:t>28 000 000 FCFA</w:t>
            </w:r>
          </w:p>
        </w:tc>
        <w:tc>
          <w:tcPr>
            <w:tcW w:type="dxa" w:w="1928"/>
            <w:shd w:val="clear" w:color="auto" w:fill="FFFFFF"/>
          </w:tcPr>
          <w:p>
            <w:pPr>
              <w:spacing w:before="40" w:after="40"/>
              <w:jc w:val="center"/>
            </w:pPr>
            <w:r>
              <w:rPr>
                <w:b/>
                <w:i w:val="0"/>
                <w:color w:val="F5A623"/>
                <w:sz w:val="17"/>
              </w:rPr>
              <w:t>3 000 000 FCFA</w:t>
            </w:r>
          </w:p>
        </w:tc>
        <w:tc>
          <w:tcPr>
            <w:tcW w:type="dxa" w:w="1928"/>
            <w:shd w:val="clear" w:color="auto" w:fill="FFFFFF"/>
          </w:tcPr>
          <w:p>
            <w:pPr>
              <w:spacing w:before="40" w:after="40"/>
              <w:jc w:val="center"/>
            </w:pPr>
            <w:r>
              <w:rPr>
                <w:b w:val="0"/>
                <w:i w:val="0"/>
                <w:color w:val="1F2D3D"/>
                <w:sz w:val="17"/>
              </w:rPr>
              <w:t>46 – 72 M FCFA</w:t>
            </w:r>
          </w:p>
        </w:tc>
        <w:tc>
          <w:tcPr>
            <w:tcW w:type="dxa" w:w="1928"/>
            <w:shd w:val="clear" w:color="auto" w:fill="FFFFFF"/>
          </w:tcPr>
          <w:p>
            <w:pPr>
              <w:spacing w:before="40" w:after="40"/>
              <w:jc w:val="center"/>
            </w:pPr>
            <w:r>
              <w:rPr>
                <w:b w:val="0"/>
                <w:i w:val="0"/>
                <w:color w:val="108A5C"/>
                <w:sz w:val="17"/>
              </w:rPr>
              <w:t>5–7 mois</w:t>
            </w:r>
          </w:p>
        </w:tc>
      </w:tr>
      <w:tr>
        <w:tc>
          <w:tcPr>
            <w:tcW w:type="dxa" w:w="1928"/>
            <w:shd w:val="clear" w:color="auto" w:fill="E8F5EE"/>
          </w:tcPr>
          <w:p>
            <w:pPr>
              <w:spacing w:before="40" w:after="40"/>
              <w:jc w:val="left"/>
            </w:pPr>
            <w:r>
              <w:rPr>
                <w:b/>
                <w:i w:val="0"/>
                <w:color w:val="0D6E48"/>
                <w:sz w:val="17"/>
              </w:rPr>
              <w:t>Bundle Terrain &amp; Collecte</w:t>
            </w:r>
          </w:p>
        </w:tc>
        <w:tc>
          <w:tcPr>
            <w:tcW w:type="dxa" w:w="1928"/>
            <w:shd w:val="clear" w:color="auto" w:fill="F4F7F5"/>
          </w:tcPr>
          <w:p>
            <w:pPr>
              <w:spacing w:before="40" w:after="40"/>
              <w:jc w:val="center"/>
            </w:pPr>
            <w:r>
              <w:rPr>
                <w:b/>
                <w:i w:val="0"/>
                <w:color w:val="0D6E48"/>
                <w:sz w:val="17"/>
              </w:rPr>
              <w:t>22 000 000 FCFA</w:t>
            </w:r>
          </w:p>
        </w:tc>
        <w:tc>
          <w:tcPr>
            <w:tcW w:type="dxa" w:w="1928"/>
            <w:shd w:val="clear" w:color="auto" w:fill="F4F7F5"/>
          </w:tcPr>
          <w:p>
            <w:pPr>
              <w:spacing w:before="40" w:after="40"/>
              <w:jc w:val="center"/>
            </w:pPr>
            <w:r>
              <w:rPr>
                <w:b/>
                <w:i w:val="0"/>
                <w:color w:val="F5A623"/>
                <w:sz w:val="17"/>
              </w:rPr>
              <w:t>2 200 000 FCFA</w:t>
            </w:r>
          </w:p>
        </w:tc>
        <w:tc>
          <w:tcPr>
            <w:tcW w:type="dxa" w:w="1928"/>
            <w:shd w:val="clear" w:color="auto" w:fill="F4F7F5"/>
          </w:tcPr>
          <w:p>
            <w:pPr>
              <w:spacing w:before="40" w:after="40"/>
              <w:jc w:val="center"/>
            </w:pPr>
            <w:r>
              <w:rPr>
                <w:b w:val="0"/>
                <w:i w:val="0"/>
                <w:color w:val="1F2D3D"/>
                <w:sz w:val="17"/>
              </w:rPr>
              <w:t>49 – 83 M FCFA</w:t>
            </w:r>
          </w:p>
        </w:tc>
        <w:tc>
          <w:tcPr>
            <w:tcW w:type="dxa" w:w="1928"/>
            <w:shd w:val="clear" w:color="auto" w:fill="F4F7F5"/>
          </w:tcPr>
          <w:p>
            <w:pPr>
              <w:spacing w:before="40" w:after="40"/>
              <w:jc w:val="center"/>
            </w:pPr>
            <w:r>
              <w:rPr>
                <w:b w:val="0"/>
                <w:i w:val="0"/>
                <w:color w:val="108A5C"/>
                <w:sz w:val="17"/>
              </w:rPr>
              <w:t>3–5 mois</w:t>
            </w:r>
          </w:p>
        </w:tc>
      </w:tr>
      <w:tr>
        <w:tc>
          <w:tcPr>
            <w:tcW w:type="dxa" w:w="1928"/>
            <w:shd w:val="clear" w:color="auto" w:fill="E8F5EE"/>
          </w:tcPr>
          <w:p>
            <w:pPr>
              <w:spacing w:before="40" w:after="40"/>
              <w:jc w:val="left"/>
            </w:pPr>
            <w:r>
              <w:rPr>
                <w:b/>
                <w:i w:val="0"/>
                <w:color w:val="0D6E48"/>
                <w:sz w:val="17"/>
              </w:rPr>
              <w:t>Bundle Risque &amp; Conformité</w:t>
            </w:r>
          </w:p>
        </w:tc>
        <w:tc>
          <w:tcPr>
            <w:tcW w:type="dxa" w:w="1928"/>
            <w:shd w:val="clear" w:color="auto" w:fill="FFFFFF"/>
          </w:tcPr>
          <w:p>
            <w:pPr>
              <w:spacing w:before="40" w:after="40"/>
              <w:jc w:val="center"/>
            </w:pPr>
            <w:r>
              <w:rPr>
                <w:b/>
                <w:i w:val="0"/>
                <w:color w:val="0D6E48"/>
                <w:sz w:val="17"/>
              </w:rPr>
              <w:t>26 000 000 FCFA</w:t>
            </w:r>
          </w:p>
        </w:tc>
        <w:tc>
          <w:tcPr>
            <w:tcW w:type="dxa" w:w="1928"/>
            <w:shd w:val="clear" w:color="auto" w:fill="FFFFFF"/>
          </w:tcPr>
          <w:p>
            <w:pPr>
              <w:spacing w:before="40" w:after="40"/>
              <w:jc w:val="center"/>
            </w:pPr>
            <w:r>
              <w:rPr>
                <w:b/>
                <w:i w:val="0"/>
                <w:color w:val="F5A623"/>
                <w:sz w:val="17"/>
              </w:rPr>
              <w:t>2 500 000 FCFA</w:t>
            </w:r>
          </w:p>
        </w:tc>
        <w:tc>
          <w:tcPr>
            <w:tcW w:type="dxa" w:w="1928"/>
            <w:shd w:val="clear" w:color="auto" w:fill="FFFFFF"/>
          </w:tcPr>
          <w:p>
            <w:pPr>
              <w:spacing w:before="40" w:after="40"/>
              <w:jc w:val="center"/>
            </w:pPr>
            <w:r>
              <w:rPr>
                <w:b w:val="0"/>
                <w:i w:val="0"/>
                <w:color w:val="1F2D3D"/>
                <w:sz w:val="17"/>
              </w:rPr>
              <w:t>53 – 89 M FCFA</w:t>
            </w:r>
          </w:p>
        </w:tc>
        <w:tc>
          <w:tcPr>
            <w:tcW w:type="dxa" w:w="1928"/>
            <w:shd w:val="clear" w:color="auto" w:fill="FFFFFF"/>
          </w:tcPr>
          <w:p>
            <w:pPr>
              <w:spacing w:before="40" w:after="40"/>
              <w:jc w:val="center"/>
            </w:pPr>
            <w:r>
              <w:rPr>
                <w:b w:val="0"/>
                <w:i w:val="0"/>
                <w:color w:val="108A5C"/>
                <w:sz w:val="17"/>
              </w:rPr>
              <w:t>3–6 mois</w:t>
            </w:r>
          </w:p>
        </w:tc>
      </w:tr>
      <w:tr>
        <w:tc>
          <w:tcPr>
            <w:tcW w:type="dxa" w:w="1928"/>
            <w:shd w:val="clear" w:color="auto" w:fill="E8F5EE"/>
          </w:tcPr>
          <w:p>
            <w:pPr>
              <w:spacing w:before="40" w:after="40"/>
              <w:jc w:val="left"/>
            </w:pPr>
            <w:r>
              <w:rPr>
                <w:b/>
                <w:i w:val="0"/>
                <w:color w:val="0D6E48"/>
                <w:sz w:val="17"/>
              </w:rPr>
              <w:t>Bundle Croissance &amp; Opérations</w:t>
            </w:r>
          </w:p>
        </w:tc>
        <w:tc>
          <w:tcPr>
            <w:tcW w:type="dxa" w:w="1928"/>
            <w:shd w:val="clear" w:color="auto" w:fill="F4F7F5"/>
          </w:tcPr>
          <w:p>
            <w:pPr>
              <w:spacing w:before="40" w:after="40"/>
              <w:jc w:val="center"/>
            </w:pPr>
            <w:r>
              <w:rPr>
                <w:b/>
                <w:i w:val="0"/>
                <w:color w:val="0D6E48"/>
                <w:sz w:val="17"/>
              </w:rPr>
              <w:t>16 000 000 FCFA</w:t>
            </w:r>
          </w:p>
        </w:tc>
        <w:tc>
          <w:tcPr>
            <w:tcW w:type="dxa" w:w="1928"/>
            <w:shd w:val="clear" w:color="auto" w:fill="F4F7F5"/>
          </w:tcPr>
          <w:p>
            <w:pPr>
              <w:spacing w:before="40" w:after="40"/>
              <w:jc w:val="center"/>
            </w:pPr>
            <w:r>
              <w:rPr>
                <w:b/>
                <w:i w:val="0"/>
                <w:color w:val="F5A623"/>
                <w:sz w:val="17"/>
              </w:rPr>
              <w:t>1 500 000 FCFA</w:t>
            </w:r>
          </w:p>
        </w:tc>
        <w:tc>
          <w:tcPr>
            <w:tcW w:type="dxa" w:w="1928"/>
            <w:shd w:val="clear" w:color="auto" w:fill="F4F7F5"/>
          </w:tcPr>
          <w:p>
            <w:pPr>
              <w:spacing w:before="40" w:after="40"/>
              <w:jc w:val="center"/>
            </w:pPr>
            <w:r>
              <w:rPr>
                <w:b w:val="0"/>
                <w:i w:val="0"/>
                <w:color w:val="1F2D3D"/>
                <w:sz w:val="17"/>
              </w:rPr>
              <w:t>23 – 44 M FCFA</w:t>
            </w:r>
          </w:p>
        </w:tc>
        <w:tc>
          <w:tcPr>
            <w:tcW w:type="dxa" w:w="1928"/>
            <w:shd w:val="clear" w:color="auto" w:fill="F4F7F5"/>
          </w:tcPr>
          <w:p>
            <w:pPr>
              <w:spacing w:before="40" w:after="40"/>
              <w:jc w:val="center"/>
            </w:pPr>
            <w:r>
              <w:rPr>
                <w:b w:val="0"/>
                <w:i w:val="0"/>
                <w:color w:val="108A5C"/>
                <w:sz w:val="17"/>
              </w:rPr>
              <w:t>4–8 mois</w:t>
            </w:r>
          </w:p>
        </w:tc>
      </w:tr>
    </w:tbl>
    <w:p>
      <w:pPr>
        <w:spacing w:before="80" w:after="120"/>
      </w:pPr>
      <w:r>
        <w:rPr>
          <w:i/>
          <w:color w:val="446644"/>
          <w:sz w:val="17"/>
        </w:rPr>
        <w:t>★  Combinaison recommandée : Bundle Crédit + Bundle Terrain &amp; Collecte = 50 M FCFA / an · Maintenance Y2+ : 5 200 000 FCFA / mois</w:t>
      </w:r>
    </w:p>
    <w:p>
      <w:r>
        <w:br w:type="page"/>
      </w:r>
    </w:p>
    <w:p>
      <w:pPr>
        <w:spacing w:before="320" w:after="120"/>
      </w:pPr>
      <w:r>
        <w:rPr>
          <w:b/>
          <w:color w:val="0D6E48"/>
          <w:sz w:val="26"/>
        </w:rPr>
        <w:t>4. SCÉNARIO — IA à 95 % de précision</w:t>
      </w:r>
    </w:p>
    <w:p>
      <w:pPr>
        <w:spacing w:before="80" w:after="120"/>
      </w:pPr>
      <w:r>
        <w:rPr>
          <w:i/>
          <w:color w:val="1F2D3D"/>
          <w:sz w:val="18"/>
        </w:rPr>
        <w:t>Lorsque les modèles IA de Prospera atteignent 95 % de précision sur le scoring de crédit, les recommandations de recouvrement et les alertes précoces de défaut, la valeur générée pour le client augmente structurellement. Ce niveau est rendu possible par l’accumulation de données terrain réelles (minimum 12–18 mois) — accélérée par l’application mobile agents (Google Maps, géolocalisation paiements, fréquence visites, voice-to-CRM) qui enrichit le modèle en continu.</w:t>
      </w:r>
    </w:p>
    <w:p>
      <w:pPr>
        <w:spacing w:before="160" w:after="80"/>
      </w:pPr>
      <w:r>
        <w:rPr>
          <w:b/>
          <w:color w:val="0D6E48"/>
          <w:sz w:val="20"/>
        </w:rPr>
        <w:t>4.1 Impact sur le ROI client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118"/>
            <w:shd w:val="clear" w:color="auto" w:fill="0D6E48"/>
            <w:vAlign w:val="center"/>
          </w:tcPr>
          <w:p>
            <w:pPr>
              <w:spacing w:before="40" w:after="40"/>
              <w:jc w:val="center"/>
            </w:pPr>
            <w:r>
              <w:rPr>
                <w:b/>
                <w:i w:val="0"/>
                <w:color w:val="FFFFFF"/>
                <w:sz w:val="18"/>
              </w:rPr>
              <w:t>Indicateur</w:t>
            </w:r>
          </w:p>
        </w:tc>
        <w:tc>
          <w:tcPr>
            <w:tcW w:type="dxa" w:w="1984"/>
            <w:shd w:val="clear" w:color="auto" w:fill="0D6E48"/>
            <w:vAlign w:val="center"/>
          </w:tcPr>
          <w:p>
            <w:pPr>
              <w:spacing w:before="40" w:after="40"/>
              <w:jc w:val="center"/>
            </w:pPr>
            <w:r>
              <w:rPr>
                <w:b/>
                <w:i w:val="0"/>
                <w:color w:val="FFFFFF"/>
                <w:sz w:val="18"/>
              </w:rPr>
              <w:t>IA actuelle</w:t>
              <w:br/>
              <w:t>(70–80 %)</w:t>
            </w:r>
          </w:p>
        </w:tc>
        <w:tc>
          <w:tcPr>
            <w:tcW w:type="dxa" w:w="1984"/>
            <w:shd w:val="clear" w:color="auto" w:fill="0D6E48"/>
            <w:vAlign w:val="center"/>
          </w:tcPr>
          <w:p>
            <w:pPr>
              <w:spacing w:before="40" w:after="40"/>
              <w:jc w:val="center"/>
            </w:pPr>
            <w:r>
              <w:rPr>
                <w:b/>
                <w:i w:val="0"/>
                <w:color w:val="FFFFFF"/>
                <w:sz w:val="18"/>
              </w:rPr>
              <w:t>IA à 95 %</w:t>
            </w:r>
          </w:p>
        </w:tc>
        <w:tc>
          <w:tcPr>
            <w:tcW w:type="dxa" w:w="2551"/>
            <w:shd w:val="clear" w:color="auto" w:fill="0D6E48"/>
            <w:vAlign w:val="center"/>
          </w:tcPr>
          <w:p>
            <w:pPr>
              <w:spacing w:before="40" w:after="40"/>
              <w:jc w:val="center"/>
            </w:pPr>
            <w:r>
              <w:rPr>
                <w:b/>
                <w:i w:val="0"/>
                <w:color w:val="FFFFFF"/>
                <w:sz w:val="18"/>
              </w:rPr>
              <w:t>Gain supplémentaire</w:t>
            </w:r>
          </w:p>
        </w:tc>
      </w:tr>
      <w:tr>
        <w:tc>
          <w:tcPr>
            <w:tcW w:type="dxa" w:w="2409"/>
            <w:shd w:val="clear" w:color="auto" w:fill="F4F7F5"/>
          </w:tcPr>
          <w:p>
            <w:pPr>
              <w:spacing w:before="40" w:after="40"/>
              <w:jc w:val="left"/>
            </w:pPr>
            <w:r>
              <w:rPr>
                <w:b w:val="0"/>
                <w:i w:val="0"/>
                <w:color w:val="1F2D3D"/>
                <w:sz w:val="17"/>
              </w:rPr>
              <w:t>Réduction PAR 30j</w:t>
            </w:r>
          </w:p>
        </w:tc>
        <w:tc>
          <w:tcPr>
            <w:tcW w:type="dxa" w:w="2409"/>
            <w:shd w:val="clear" w:color="auto" w:fill="F4F7F5"/>
          </w:tcPr>
          <w:p>
            <w:pPr>
              <w:spacing w:before="40" w:after="40"/>
              <w:jc w:val="center"/>
            </w:pPr>
            <w:r>
              <w:rPr>
                <w:b w:val="0"/>
                <w:i w:val="0"/>
                <w:color w:val="1F2D3D"/>
                <w:sz w:val="17"/>
              </w:rPr>
              <w:t>-2 points</w:t>
            </w:r>
          </w:p>
        </w:tc>
        <w:tc>
          <w:tcPr>
            <w:tcW w:type="dxa" w:w="2409"/>
            <w:shd w:val="clear" w:color="auto" w:fill="F4F7F5"/>
          </w:tcPr>
          <w:p>
            <w:pPr>
              <w:spacing w:before="40" w:after="40"/>
              <w:jc w:val="center"/>
            </w:pPr>
            <w:r>
              <w:rPr>
                <w:b/>
                <w:i w:val="0"/>
                <w:color w:val="108A5C"/>
                <w:sz w:val="17"/>
              </w:rPr>
              <w:t>-4 à -5 points</w:t>
            </w:r>
          </w:p>
        </w:tc>
        <w:tc>
          <w:tcPr>
            <w:tcW w:type="dxa" w:w="2409"/>
            <w:shd w:val="clear" w:color="auto" w:fill="F4F7F5"/>
          </w:tcPr>
          <w:p>
            <w:pPr>
              <w:spacing w:before="40" w:after="40"/>
              <w:jc w:val="center"/>
            </w:pPr>
            <w:r>
              <w:rPr>
                <w:b w:val="0"/>
                <w:i w:val="0"/>
                <w:color w:val="1F2D3D"/>
                <w:sz w:val="17"/>
              </w:rPr>
              <w:t>+2 à 3 pts</w:t>
            </w:r>
          </w:p>
        </w:tc>
      </w:tr>
      <w:tr>
        <w:tc>
          <w:tcPr>
            <w:tcW w:type="dxa" w:w="2409"/>
            <w:shd w:val="clear" w:color="auto" w:fill="FFFFFF"/>
          </w:tcPr>
          <w:p>
            <w:pPr>
              <w:spacing w:before="40" w:after="40"/>
              <w:jc w:val="left"/>
            </w:pPr>
            <w:r>
              <w:rPr>
                <w:b w:val="0"/>
                <w:i w:val="0"/>
                <w:color w:val="1F2D3D"/>
                <w:sz w:val="17"/>
              </w:rPr>
              <w:t>Taux de recouvrement</w:t>
            </w:r>
          </w:p>
        </w:tc>
        <w:tc>
          <w:tcPr>
            <w:tcW w:type="dxa" w:w="2409"/>
            <w:shd w:val="clear" w:color="auto" w:fill="FFFFFF"/>
          </w:tcPr>
          <w:p>
            <w:pPr>
              <w:spacing w:before="40" w:after="40"/>
              <w:jc w:val="center"/>
            </w:pPr>
            <w:r>
              <w:rPr>
                <w:b w:val="0"/>
                <w:i w:val="0"/>
                <w:color w:val="1F2D3D"/>
                <w:sz w:val="17"/>
              </w:rPr>
              <w:t>+10–15 %</w:t>
            </w:r>
          </w:p>
        </w:tc>
        <w:tc>
          <w:tcPr>
            <w:tcW w:type="dxa" w:w="2409"/>
            <w:shd w:val="clear" w:color="auto" w:fill="FFFFFF"/>
          </w:tcPr>
          <w:p>
            <w:pPr>
              <w:spacing w:before="40" w:after="40"/>
              <w:jc w:val="center"/>
            </w:pPr>
            <w:r>
              <w:rPr>
                <w:b/>
                <w:i w:val="0"/>
                <w:color w:val="108A5C"/>
                <w:sz w:val="17"/>
              </w:rPr>
              <w:t>+20–25 %</w:t>
            </w:r>
          </w:p>
        </w:tc>
        <w:tc>
          <w:tcPr>
            <w:tcW w:type="dxa" w:w="2409"/>
            <w:shd w:val="clear" w:color="auto" w:fill="FFFFFF"/>
          </w:tcPr>
          <w:p>
            <w:pPr>
              <w:spacing w:before="40" w:after="40"/>
              <w:jc w:val="center"/>
            </w:pPr>
            <w:r>
              <w:rPr>
                <w:b w:val="0"/>
                <w:i w:val="0"/>
                <w:color w:val="1F2D3D"/>
                <w:sz w:val="17"/>
              </w:rPr>
              <w:t>+10 pts</w:t>
            </w:r>
          </w:p>
        </w:tc>
      </w:tr>
      <w:tr>
        <w:tc>
          <w:tcPr>
            <w:tcW w:type="dxa" w:w="2409"/>
            <w:shd w:val="clear" w:color="auto" w:fill="F4F7F5"/>
          </w:tcPr>
          <w:p>
            <w:pPr>
              <w:spacing w:before="40" w:after="40"/>
              <w:jc w:val="left"/>
            </w:pPr>
            <w:r>
              <w:rPr>
                <w:b w:val="0"/>
                <w:i w:val="0"/>
                <w:color w:val="1F2D3D"/>
                <w:sz w:val="17"/>
              </w:rPr>
              <w:t>Dossiers approuvés à bon escient</w:t>
            </w:r>
          </w:p>
        </w:tc>
        <w:tc>
          <w:tcPr>
            <w:tcW w:type="dxa" w:w="2409"/>
            <w:shd w:val="clear" w:color="auto" w:fill="F4F7F5"/>
          </w:tcPr>
          <w:p>
            <w:pPr>
              <w:spacing w:before="40" w:after="40"/>
              <w:jc w:val="center"/>
            </w:pPr>
            <w:r>
              <w:rPr>
                <w:b w:val="0"/>
                <w:i w:val="0"/>
                <w:color w:val="1F2D3D"/>
                <w:sz w:val="17"/>
              </w:rPr>
              <w:t>78 %</w:t>
            </w:r>
          </w:p>
        </w:tc>
        <w:tc>
          <w:tcPr>
            <w:tcW w:type="dxa" w:w="2409"/>
            <w:shd w:val="clear" w:color="auto" w:fill="F4F7F5"/>
          </w:tcPr>
          <w:p>
            <w:pPr>
              <w:spacing w:before="40" w:after="40"/>
              <w:jc w:val="center"/>
            </w:pPr>
            <w:r>
              <w:rPr>
                <w:b/>
                <w:i w:val="0"/>
                <w:color w:val="108A5C"/>
                <w:sz w:val="17"/>
              </w:rPr>
              <w:t>92 %</w:t>
            </w:r>
          </w:p>
        </w:tc>
        <w:tc>
          <w:tcPr>
            <w:tcW w:type="dxa" w:w="2409"/>
            <w:shd w:val="clear" w:color="auto" w:fill="F4F7F5"/>
          </w:tcPr>
          <w:p>
            <w:pPr>
              <w:spacing w:before="40" w:after="40"/>
              <w:jc w:val="center"/>
            </w:pPr>
            <w:r>
              <w:rPr>
                <w:b w:val="0"/>
                <w:i w:val="0"/>
                <w:color w:val="1F2D3D"/>
                <w:sz w:val="17"/>
              </w:rPr>
              <w:t>-14 % mauvaises décisions</w:t>
            </w:r>
          </w:p>
        </w:tc>
      </w:tr>
      <w:tr>
        <w:tc>
          <w:tcPr>
            <w:tcW w:type="dxa" w:w="2409"/>
            <w:shd w:val="clear" w:color="auto" w:fill="FFFFFF"/>
          </w:tcPr>
          <w:p>
            <w:pPr>
              <w:spacing w:before="40" w:after="40"/>
              <w:jc w:val="left"/>
            </w:pPr>
            <w:r>
              <w:rPr>
                <w:b w:val="0"/>
                <w:i w:val="0"/>
                <w:color w:val="1F2D3D"/>
                <w:sz w:val="17"/>
              </w:rPr>
              <w:t>Relances converties en paiement</w:t>
            </w:r>
          </w:p>
        </w:tc>
        <w:tc>
          <w:tcPr>
            <w:tcW w:type="dxa" w:w="2409"/>
            <w:shd w:val="clear" w:color="auto" w:fill="FFFFFF"/>
          </w:tcPr>
          <w:p>
            <w:pPr>
              <w:spacing w:before="40" w:after="40"/>
              <w:jc w:val="center"/>
            </w:pPr>
            <w:r>
              <w:rPr>
                <w:b w:val="0"/>
                <w:i w:val="0"/>
                <w:color w:val="1F2D3D"/>
                <w:sz w:val="17"/>
              </w:rPr>
              <w:t>38 %</w:t>
            </w:r>
          </w:p>
        </w:tc>
        <w:tc>
          <w:tcPr>
            <w:tcW w:type="dxa" w:w="2409"/>
            <w:shd w:val="clear" w:color="auto" w:fill="FFFFFF"/>
          </w:tcPr>
          <w:p>
            <w:pPr>
              <w:spacing w:before="40" w:after="40"/>
              <w:jc w:val="center"/>
            </w:pPr>
            <w:r>
              <w:rPr>
                <w:b/>
                <w:i w:val="0"/>
                <w:color w:val="108A5C"/>
                <w:sz w:val="17"/>
              </w:rPr>
              <w:t>55 %</w:t>
            </w:r>
          </w:p>
        </w:tc>
        <w:tc>
          <w:tcPr>
            <w:tcW w:type="dxa" w:w="2409"/>
            <w:shd w:val="clear" w:color="auto" w:fill="FFFFFF"/>
          </w:tcPr>
          <w:p>
            <w:pPr>
              <w:spacing w:before="40" w:after="40"/>
              <w:jc w:val="center"/>
            </w:pPr>
            <w:r>
              <w:rPr>
                <w:b w:val="0"/>
                <w:i w:val="0"/>
                <w:color w:val="1F2D3D"/>
                <w:sz w:val="17"/>
              </w:rPr>
              <w:t>+17 pts</w:t>
            </w:r>
          </w:p>
        </w:tc>
      </w:tr>
      <w:tr>
        <w:tc>
          <w:tcPr>
            <w:tcW w:type="dxa" w:w="2409"/>
            <w:shd w:val="clear" w:color="auto" w:fill="F4F7F5"/>
          </w:tcPr>
          <w:p>
            <w:pPr>
              <w:spacing w:before="40" w:after="40"/>
              <w:jc w:val="left"/>
            </w:pPr>
            <w:r>
              <w:rPr>
                <w:b w:val="0"/>
                <w:i w:val="0"/>
                <w:color w:val="1F2D3D"/>
                <w:sz w:val="17"/>
              </w:rPr>
              <w:t>Alertes défaut détectées à J-30</w:t>
            </w:r>
          </w:p>
        </w:tc>
        <w:tc>
          <w:tcPr>
            <w:tcW w:type="dxa" w:w="2409"/>
            <w:shd w:val="clear" w:color="auto" w:fill="F4F7F5"/>
          </w:tcPr>
          <w:p>
            <w:pPr>
              <w:spacing w:before="40" w:after="40"/>
              <w:jc w:val="center"/>
            </w:pPr>
            <w:r>
              <w:rPr>
                <w:b w:val="0"/>
                <w:i w:val="0"/>
                <w:color w:val="1F2D3D"/>
                <w:sz w:val="17"/>
              </w:rPr>
              <w:t>65 %</w:t>
            </w:r>
          </w:p>
        </w:tc>
        <w:tc>
          <w:tcPr>
            <w:tcW w:type="dxa" w:w="2409"/>
            <w:shd w:val="clear" w:color="auto" w:fill="F4F7F5"/>
          </w:tcPr>
          <w:p>
            <w:pPr>
              <w:spacing w:before="40" w:after="40"/>
              <w:jc w:val="center"/>
            </w:pPr>
            <w:r>
              <w:rPr>
                <w:b/>
                <w:i w:val="0"/>
                <w:color w:val="108A5C"/>
                <w:sz w:val="17"/>
              </w:rPr>
              <w:t>90 %</w:t>
            </w:r>
          </w:p>
        </w:tc>
        <w:tc>
          <w:tcPr>
            <w:tcW w:type="dxa" w:w="2409"/>
            <w:shd w:val="clear" w:color="auto" w:fill="F4F7F5"/>
          </w:tcPr>
          <w:p>
            <w:pPr>
              <w:spacing w:before="40" w:after="40"/>
              <w:jc w:val="center"/>
            </w:pPr>
            <w:r>
              <w:rPr>
                <w:b w:val="0"/>
                <w:i w:val="0"/>
                <w:color w:val="1F2D3D"/>
                <w:sz w:val="17"/>
              </w:rPr>
              <w:t>+25 pts</w:t>
            </w:r>
          </w:p>
        </w:tc>
      </w:tr>
      <w:tr>
        <w:tc>
          <w:tcPr>
            <w:tcW w:type="dxa" w:w="2409"/>
            <w:shd w:val="clear" w:color="auto" w:fill="E8F5EE"/>
          </w:tcPr>
          <w:p>
            <w:pPr>
              <w:spacing w:before="40" w:after="40"/>
              <w:jc w:val="left"/>
            </w:pPr>
            <w:r>
              <w:rPr>
                <w:b/>
                <w:i w:val="0"/>
                <w:color w:val="0D6E48"/>
                <w:sz w:val="17"/>
              </w:rPr>
              <w:t>ROI annuel (800 M FCFA ptf.)</w:t>
            </w:r>
          </w:p>
        </w:tc>
        <w:tc>
          <w:tcPr>
            <w:tcW w:type="dxa" w:w="2409"/>
            <w:shd w:val="clear" w:color="auto" w:fill="FFFFFF"/>
          </w:tcPr>
          <w:p>
            <w:pPr>
              <w:spacing w:before="40" w:after="40"/>
              <w:jc w:val="center"/>
            </w:pPr>
            <w:r>
              <w:rPr>
                <w:b/>
                <w:i w:val="0"/>
                <w:color w:val="1F2D3D"/>
                <w:sz w:val="17"/>
              </w:rPr>
              <w:t>171–288 M FCFA</w:t>
            </w:r>
          </w:p>
        </w:tc>
        <w:tc>
          <w:tcPr>
            <w:tcW w:type="dxa" w:w="2409"/>
            <w:shd w:val="clear" w:color="auto" w:fill="FFFFFF"/>
          </w:tcPr>
          <w:p>
            <w:pPr>
              <w:spacing w:before="40" w:after="40"/>
              <w:jc w:val="center"/>
            </w:pPr>
            <w:r>
              <w:rPr>
                <w:b/>
                <w:i w:val="0"/>
                <w:color w:val="108A5C"/>
                <w:sz w:val="17"/>
              </w:rPr>
              <w:t>280–420 M FCFA</w:t>
            </w:r>
          </w:p>
        </w:tc>
        <w:tc>
          <w:tcPr>
            <w:tcW w:type="dxa" w:w="2409"/>
            <w:shd w:val="clear" w:color="auto" w:fill="FFFFFF"/>
          </w:tcPr>
          <w:p>
            <w:pPr>
              <w:spacing w:before="40" w:after="40"/>
              <w:jc w:val="center"/>
            </w:pPr>
            <w:r>
              <w:rPr>
                <w:b/>
                <w:i w:val="0"/>
                <w:color w:val="0D6E48"/>
                <w:sz w:val="17"/>
              </w:rPr>
              <w:t>+60 à +130 M FCFA</w:t>
            </w:r>
          </w:p>
        </w:tc>
      </w:tr>
      <w:tr>
        <w:tc>
          <w:tcPr>
            <w:tcW w:type="dxa" w:w="2409"/>
            <w:shd w:val="clear" w:color="auto" w:fill="E8F5EE"/>
          </w:tcPr>
          <w:p>
            <w:pPr>
              <w:spacing w:before="40" w:after="40"/>
              <w:jc w:val="left"/>
            </w:pPr>
            <w:r>
              <w:rPr>
                <w:b/>
                <w:i w:val="0"/>
                <w:color w:val="0D6E48"/>
                <w:sz w:val="17"/>
              </w:rPr>
              <w:t>ROI Bundle Crédit seul</w:t>
            </w:r>
          </w:p>
        </w:tc>
        <w:tc>
          <w:tcPr>
            <w:tcW w:type="dxa" w:w="2409"/>
            <w:shd w:val="clear" w:color="auto" w:fill="F4F7F5"/>
          </w:tcPr>
          <w:p>
            <w:pPr>
              <w:spacing w:before="40" w:after="40"/>
              <w:jc w:val="center"/>
            </w:pPr>
            <w:r>
              <w:rPr>
                <w:b/>
                <w:i w:val="0"/>
                <w:color w:val="1F2D3D"/>
                <w:sz w:val="17"/>
              </w:rPr>
              <w:t>46–72 M FCFA</w:t>
            </w:r>
          </w:p>
        </w:tc>
        <w:tc>
          <w:tcPr>
            <w:tcW w:type="dxa" w:w="2409"/>
            <w:shd w:val="clear" w:color="auto" w:fill="F4F7F5"/>
          </w:tcPr>
          <w:p>
            <w:pPr>
              <w:spacing w:before="40" w:after="40"/>
              <w:jc w:val="center"/>
            </w:pPr>
            <w:r>
              <w:rPr>
                <w:b/>
                <w:i w:val="0"/>
                <w:color w:val="108A5C"/>
                <w:sz w:val="17"/>
              </w:rPr>
              <w:t>70–110 M FCFA</w:t>
            </w:r>
          </w:p>
        </w:tc>
        <w:tc>
          <w:tcPr>
            <w:tcW w:type="dxa" w:w="2409"/>
            <w:shd w:val="clear" w:color="auto" w:fill="F4F7F5"/>
          </w:tcPr>
          <w:p>
            <w:pPr>
              <w:spacing w:before="40" w:after="40"/>
              <w:jc w:val="center"/>
            </w:pPr>
            <w:r>
              <w:rPr>
                <w:b/>
                <w:i w:val="0"/>
                <w:color w:val="0D6E48"/>
                <w:sz w:val="17"/>
              </w:rPr>
              <w:t>+24 à +38 M FCFA</w:t>
            </w:r>
          </w:p>
        </w:tc>
      </w:tr>
    </w:tbl>
    <w:p/>
    <w:p>
      <w:pPr>
        <w:spacing w:before="160" w:after="80"/>
      </w:pPr>
      <w:r>
        <w:rPr>
          <w:b/>
          <w:color w:val="0D6E48"/>
          <w:sz w:val="20"/>
        </w:rPr>
        <w:t>4.2 Grille tarifaire révisée — IA 95 %</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51"/>
            <w:shd w:val="clear" w:color="auto" w:fill="0D6E48"/>
            <w:vAlign w:val="center"/>
          </w:tcPr>
          <w:p>
            <w:pPr>
              <w:spacing w:before="40" w:after="40"/>
              <w:jc w:val="center"/>
            </w:pPr>
            <w:r>
              <w:rPr>
                <w:b/>
                <w:i w:val="0"/>
                <w:color w:val="FFFFFF"/>
                <w:sz w:val="18"/>
              </w:rPr>
              <w:t>Offre</w:t>
            </w:r>
          </w:p>
        </w:tc>
        <w:tc>
          <w:tcPr>
            <w:tcW w:type="dxa" w:w="2154"/>
            <w:shd w:val="clear" w:color="auto" w:fill="0D6E48"/>
            <w:vAlign w:val="center"/>
          </w:tcPr>
          <w:p>
            <w:pPr>
              <w:spacing w:before="40" w:after="40"/>
              <w:jc w:val="center"/>
            </w:pPr>
            <w:r>
              <w:rPr>
                <w:b/>
                <w:i w:val="0"/>
                <w:color w:val="FFFFFF"/>
                <w:sz w:val="18"/>
              </w:rPr>
              <w:t>Prix actuel / an</w:t>
            </w:r>
          </w:p>
        </w:tc>
        <w:tc>
          <w:tcPr>
            <w:tcW w:type="dxa" w:w="2154"/>
            <w:shd w:val="clear" w:color="auto" w:fill="0D6E48"/>
            <w:vAlign w:val="center"/>
          </w:tcPr>
          <w:p>
            <w:pPr>
              <w:spacing w:before="40" w:after="40"/>
              <w:jc w:val="center"/>
            </w:pPr>
            <w:r>
              <w:rPr>
                <w:b/>
                <w:i w:val="0"/>
                <w:color w:val="FFFFFF"/>
                <w:sz w:val="18"/>
              </w:rPr>
              <w:t>Prix IA 95 % / an</w:t>
            </w:r>
          </w:p>
        </w:tc>
        <w:tc>
          <w:tcPr>
            <w:tcW w:type="dxa" w:w="2268"/>
            <w:shd w:val="clear" w:color="auto" w:fill="0D6E48"/>
            <w:vAlign w:val="center"/>
          </w:tcPr>
          <w:p>
            <w:pPr>
              <w:spacing w:before="40" w:after="40"/>
              <w:jc w:val="center"/>
            </w:pPr>
            <w:r>
              <w:rPr>
                <w:b/>
                <w:i w:val="0"/>
                <w:color w:val="FFFFFF"/>
                <w:sz w:val="18"/>
              </w:rPr>
              <w:t>Maintenance Y2+ / mois</w:t>
            </w:r>
          </w:p>
        </w:tc>
      </w:tr>
      <w:tr>
        <w:tc>
          <w:tcPr>
            <w:tcW w:type="dxa" w:w="2409"/>
            <w:shd w:val="clear" w:color="auto" w:fill="E8F5EE"/>
          </w:tcPr>
          <w:p>
            <w:pPr>
              <w:spacing w:before="40" w:after="40"/>
              <w:jc w:val="left"/>
            </w:pPr>
            <w:r>
              <w:rPr>
                <w:b/>
                <w:i w:val="0"/>
                <w:color w:val="0D6E48"/>
                <w:sz w:val="17"/>
              </w:rPr>
              <w:t>Plateforme Complète</w:t>
            </w:r>
          </w:p>
        </w:tc>
        <w:tc>
          <w:tcPr>
            <w:tcW w:type="dxa" w:w="2409"/>
            <w:shd w:val="clear" w:color="auto" w:fill="F4F7F5"/>
          </w:tcPr>
          <w:p>
            <w:pPr>
              <w:spacing w:before="40" w:after="40"/>
              <w:jc w:val="center"/>
            </w:pPr>
            <w:r>
              <w:rPr>
                <w:b w:val="0"/>
                <w:i w:val="0"/>
                <w:color w:val="888888"/>
                <w:sz w:val="17"/>
              </w:rPr>
              <w:t>65 000 000</w:t>
            </w:r>
          </w:p>
        </w:tc>
        <w:tc>
          <w:tcPr>
            <w:tcW w:type="dxa" w:w="2409"/>
            <w:shd w:val="clear" w:color="auto" w:fill="F4F7F5"/>
          </w:tcPr>
          <w:p>
            <w:pPr>
              <w:spacing w:before="40" w:after="40"/>
              <w:jc w:val="center"/>
            </w:pPr>
            <w:r>
              <w:rPr>
                <w:b/>
                <w:i w:val="0"/>
                <w:color w:val="108A5C"/>
                <w:sz w:val="17"/>
              </w:rPr>
              <w:t>95 000 000 FCFA</w:t>
            </w:r>
          </w:p>
        </w:tc>
        <w:tc>
          <w:tcPr>
            <w:tcW w:type="dxa" w:w="2409"/>
            <w:shd w:val="clear" w:color="auto" w:fill="F4F7F5"/>
          </w:tcPr>
          <w:p>
            <w:pPr>
              <w:spacing w:before="40" w:after="40"/>
              <w:jc w:val="center"/>
            </w:pPr>
            <w:r>
              <w:rPr>
                <w:b/>
                <w:i w:val="0"/>
                <w:color w:val="F5A623"/>
                <w:sz w:val="17"/>
              </w:rPr>
              <w:t>4 500 000 FCFA</w:t>
            </w:r>
          </w:p>
        </w:tc>
      </w:tr>
      <w:tr>
        <w:tc>
          <w:tcPr>
            <w:tcW w:type="dxa" w:w="2409"/>
            <w:shd w:val="clear" w:color="auto" w:fill="E8F5EE"/>
          </w:tcPr>
          <w:p>
            <w:pPr>
              <w:spacing w:before="40" w:after="40"/>
              <w:jc w:val="left"/>
            </w:pPr>
            <w:r>
              <w:rPr>
                <w:b/>
                <w:i w:val="0"/>
                <w:color w:val="0D6E48"/>
                <w:sz w:val="17"/>
              </w:rPr>
              <w:t>Bundle Crédit</w:t>
            </w:r>
          </w:p>
        </w:tc>
        <w:tc>
          <w:tcPr>
            <w:tcW w:type="dxa" w:w="2409"/>
            <w:shd w:val="clear" w:color="auto" w:fill="FFFFFF"/>
          </w:tcPr>
          <w:p>
            <w:pPr>
              <w:spacing w:before="40" w:after="40"/>
              <w:jc w:val="center"/>
            </w:pPr>
            <w:r>
              <w:rPr>
                <w:b w:val="0"/>
                <w:i w:val="0"/>
                <w:color w:val="888888"/>
                <w:sz w:val="17"/>
              </w:rPr>
              <w:t>28 000 000</w:t>
            </w:r>
          </w:p>
        </w:tc>
        <w:tc>
          <w:tcPr>
            <w:tcW w:type="dxa" w:w="2409"/>
            <w:shd w:val="clear" w:color="auto" w:fill="FFFFFF"/>
          </w:tcPr>
          <w:p>
            <w:pPr>
              <w:spacing w:before="40" w:after="40"/>
              <w:jc w:val="center"/>
            </w:pPr>
            <w:r>
              <w:rPr>
                <w:b/>
                <w:i w:val="0"/>
                <w:color w:val="108A5C"/>
                <w:sz w:val="17"/>
              </w:rPr>
              <w:t>45 000 000 FCFA</w:t>
            </w:r>
          </w:p>
        </w:tc>
        <w:tc>
          <w:tcPr>
            <w:tcW w:type="dxa" w:w="2409"/>
            <w:shd w:val="clear" w:color="auto" w:fill="FFFFFF"/>
          </w:tcPr>
          <w:p>
            <w:pPr>
              <w:spacing w:before="40" w:after="40"/>
              <w:jc w:val="center"/>
            </w:pPr>
            <w:r>
              <w:rPr>
                <w:b/>
                <w:i w:val="0"/>
                <w:color w:val="F5A623"/>
                <w:sz w:val="17"/>
              </w:rPr>
              <w:t>3 500 000 FCFA</w:t>
            </w:r>
          </w:p>
        </w:tc>
      </w:tr>
      <w:tr>
        <w:tc>
          <w:tcPr>
            <w:tcW w:type="dxa" w:w="2409"/>
            <w:shd w:val="clear" w:color="auto" w:fill="E8F5EE"/>
          </w:tcPr>
          <w:p>
            <w:pPr>
              <w:spacing w:before="40" w:after="40"/>
              <w:jc w:val="left"/>
            </w:pPr>
            <w:r>
              <w:rPr>
                <w:b/>
                <w:i w:val="0"/>
                <w:color w:val="0D6E48"/>
                <w:sz w:val="17"/>
              </w:rPr>
              <w:t>Bundle Terrain &amp; Collecte</w:t>
            </w:r>
          </w:p>
        </w:tc>
        <w:tc>
          <w:tcPr>
            <w:tcW w:type="dxa" w:w="2409"/>
            <w:shd w:val="clear" w:color="auto" w:fill="F4F7F5"/>
          </w:tcPr>
          <w:p>
            <w:pPr>
              <w:spacing w:before="40" w:after="40"/>
              <w:jc w:val="center"/>
            </w:pPr>
            <w:r>
              <w:rPr>
                <w:b w:val="0"/>
                <w:i w:val="0"/>
                <w:color w:val="888888"/>
                <w:sz w:val="17"/>
              </w:rPr>
              <w:t>22 000 000</w:t>
            </w:r>
          </w:p>
        </w:tc>
        <w:tc>
          <w:tcPr>
            <w:tcW w:type="dxa" w:w="2409"/>
            <w:shd w:val="clear" w:color="auto" w:fill="F4F7F5"/>
          </w:tcPr>
          <w:p>
            <w:pPr>
              <w:spacing w:before="40" w:after="40"/>
              <w:jc w:val="center"/>
            </w:pPr>
            <w:r>
              <w:rPr>
                <w:b/>
                <w:i w:val="0"/>
                <w:color w:val="108A5C"/>
                <w:sz w:val="17"/>
              </w:rPr>
              <w:t>32 000 000 FCFA</w:t>
            </w:r>
          </w:p>
        </w:tc>
        <w:tc>
          <w:tcPr>
            <w:tcW w:type="dxa" w:w="2409"/>
            <w:shd w:val="clear" w:color="auto" w:fill="F4F7F5"/>
          </w:tcPr>
          <w:p>
            <w:pPr>
              <w:spacing w:before="40" w:after="40"/>
              <w:jc w:val="center"/>
            </w:pPr>
            <w:r>
              <w:rPr>
                <w:b/>
                <w:i w:val="0"/>
                <w:color w:val="F5A623"/>
                <w:sz w:val="17"/>
              </w:rPr>
              <w:t>2 700 000 FCFA</w:t>
            </w:r>
          </w:p>
        </w:tc>
      </w:tr>
      <w:tr>
        <w:tc>
          <w:tcPr>
            <w:tcW w:type="dxa" w:w="2409"/>
            <w:shd w:val="clear" w:color="auto" w:fill="E8F5EE"/>
          </w:tcPr>
          <w:p>
            <w:pPr>
              <w:spacing w:before="40" w:after="40"/>
              <w:jc w:val="left"/>
            </w:pPr>
            <w:r>
              <w:rPr>
                <w:b/>
                <w:i w:val="0"/>
                <w:color w:val="0D6E48"/>
                <w:sz w:val="17"/>
              </w:rPr>
              <w:t>Bundle Risque &amp; Conformité</w:t>
            </w:r>
          </w:p>
        </w:tc>
        <w:tc>
          <w:tcPr>
            <w:tcW w:type="dxa" w:w="2409"/>
            <w:shd w:val="clear" w:color="auto" w:fill="FFFFFF"/>
          </w:tcPr>
          <w:p>
            <w:pPr>
              <w:spacing w:before="40" w:after="40"/>
              <w:jc w:val="center"/>
            </w:pPr>
            <w:r>
              <w:rPr>
                <w:b w:val="0"/>
                <w:i w:val="0"/>
                <w:color w:val="888888"/>
                <w:sz w:val="17"/>
              </w:rPr>
              <w:t>26 000 000</w:t>
            </w:r>
          </w:p>
        </w:tc>
        <w:tc>
          <w:tcPr>
            <w:tcW w:type="dxa" w:w="2409"/>
            <w:shd w:val="clear" w:color="auto" w:fill="FFFFFF"/>
          </w:tcPr>
          <w:p>
            <w:pPr>
              <w:spacing w:before="40" w:after="40"/>
              <w:jc w:val="center"/>
            </w:pPr>
            <w:r>
              <w:rPr>
                <w:b/>
                <w:i w:val="0"/>
                <w:color w:val="108A5C"/>
                <w:sz w:val="17"/>
              </w:rPr>
              <w:t>40 000 000 FCFA</w:t>
            </w:r>
          </w:p>
        </w:tc>
        <w:tc>
          <w:tcPr>
            <w:tcW w:type="dxa" w:w="2409"/>
            <w:shd w:val="clear" w:color="auto" w:fill="FFFFFF"/>
          </w:tcPr>
          <w:p>
            <w:pPr>
              <w:spacing w:before="40" w:after="40"/>
              <w:jc w:val="center"/>
            </w:pPr>
            <w:r>
              <w:rPr>
                <w:b/>
                <w:i w:val="0"/>
                <w:color w:val="F5A623"/>
                <w:sz w:val="17"/>
              </w:rPr>
              <w:t>3 200 000 FCFA</w:t>
            </w:r>
          </w:p>
        </w:tc>
      </w:tr>
      <w:tr>
        <w:tc>
          <w:tcPr>
            <w:tcW w:type="dxa" w:w="2409"/>
            <w:shd w:val="clear" w:color="auto" w:fill="E8F5EE"/>
          </w:tcPr>
          <w:p>
            <w:pPr>
              <w:spacing w:before="40" w:after="40"/>
              <w:jc w:val="left"/>
            </w:pPr>
            <w:r>
              <w:rPr>
                <w:b/>
                <w:i w:val="0"/>
                <w:color w:val="0D6E48"/>
                <w:sz w:val="17"/>
              </w:rPr>
              <w:t>Bundle Croissance &amp; Opérations</w:t>
            </w:r>
          </w:p>
        </w:tc>
        <w:tc>
          <w:tcPr>
            <w:tcW w:type="dxa" w:w="2409"/>
            <w:shd w:val="clear" w:color="auto" w:fill="F4F7F5"/>
          </w:tcPr>
          <w:p>
            <w:pPr>
              <w:spacing w:before="40" w:after="40"/>
              <w:jc w:val="center"/>
            </w:pPr>
            <w:r>
              <w:rPr>
                <w:b w:val="0"/>
                <w:i w:val="0"/>
                <w:color w:val="888888"/>
                <w:sz w:val="17"/>
              </w:rPr>
              <w:t>16 000 000</w:t>
            </w:r>
          </w:p>
        </w:tc>
        <w:tc>
          <w:tcPr>
            <w:tcW w:type="dxa" w:w="2409"/>
            <w:shd w:val="clear" w:color="auto" w:fill="F4F7F5"/>
          </w:tcPr>
          <w:p>
            <w:pPr>
              <w:spacing w:before="40" w:after="40"/>
              <w:jc w:val="center"/>
            </w:pPr>
            <w:r>
              <w:rPr>
                <w:b/>
                <w:i w:val="0"/>
                <w:color w:val="108A5C"/>
                <w:sz w:val="17"/>
              </w:rPr>
              <w:t>22 000 000 FCFA</w:t>
            </w:r>
          </w:p>
        </w:tc>
        <w:tc>
          <w:tcPr>
            <w:tcW w:type="dxa" w:w="2409"/>
            <w:shd w:val="clear" w:color="auto" w:fill="F4F7F5"/>
          </w:tcPr>
          <w:p>
            <w:pPr>
              <w:spacing w:before="40" w:after="40"/>
              <w:jc w:val="center"/>
            </w:pPr>
            <w:r>
              <w:rPr>
                <w:b/>
                <w:i w:val="0"/>
                <w:color w:val="F5A623"/>
                <w:sz w:val="17"/>
              </w:rPr>
              <w:t>1 800 000 FCFA</w:t>
            </w:r>
          </w:p>
        </w:tc>
      </w:tr>
    </w:tbl>
    <w:p>
      <w:pPr>
        <w:spacing w:before="80" w:after="120"/>
      </w:pPr>
      <w:r>
        <w:rPr>
          <w:i/>
          <w:color w:val="446644"/>
          <w:sz w:val="17"/>
        </w:rPr>
        <w:t>Logique de prix IA 95 % : la valeur générée pour le client augmente de 60 à 130 M FCFA/an supplémentaires. La hausse tarifaire (35–45 % sur les licences, 15–30 % sur la maintenance) ne capte que 20 à 30 % de ce gain additionnel — le client reste très largement bénéficiaire. La révision tarifaire s’applique au renouvellement annuel, après validation des performances par rapport d’impact trimestriel.</w:t>
      </w:r>
    </w:p>
    <w:p/>
    <w:p>
      <w:pPr>
        <w:jc w:val="center"/>
      </w:pPr>
      <w:r>
        <w:rPr>
          <w:i/>
          <w:color w:val="99AA99"/>
          <w:sz w:val="16"/>
        </w:rPr>
        <w:t>Document confidentiel — Prospera © 2026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