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60"/>
      </w:pPr>
      <w:r>
        <w:rPr>
          <w:b/>
          <w:sz w:val="32"/>
        </w:rPr>
        <w:t xml:space="preserve">esukh — recommended source-database fixes</w:t>
      </w:r>
    </w:p>
    <w:p>
      <w:pPr>
        <w:spacing w:after="200"/>
      </w:pPr>
      <w:r>
        <w:rPr>
          <w:i/>
          <w:sz w:val="20"/>
        </w:rPr>
        <w:t xml:space="preserve">HTI analytics platform · prepared 30 September 2026 · for the esukh engineering team</w:t>
      </w:r>
    </w:p>
    <w:p>
      <w:pPr>
        <w:spacing w:after="200"/>
      </w:pPr>
      <w:r>
        <w:rPr>
          <w:sz w:val="20"/>
        </w:rPr>
        <w:t xml:space="preserve">Findings come from the database schema only. No table data was read, so where a column looks like a stored secret we can say what the definition allows, not what the values are — those questions are for your team. Each item says what it costs the analytics platform, so you can weigh it against your own priorities.</w:t>
      </w:r>
    </w:p>
    <w:p>
      <w:pPr>
        <w:pStyle w:val="Heading2"/>
        <w:spacing w:after="160"/>
      </w:pPr>
      <w:r>
        <w:rPr>
          <w:b/>
          <w:sz w:val="26"/>
        </w:rPr>
        <w:t xml:space="preserve">1. Summary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00"/>
        <w:gridCol w:w="4400"/>
      </w:tblGrid>
      <w:tr>
        <w:trPr>
          <w:tblHeader/>
        </w:trPr>
        <w:tc>
          <w:tcPr>
            <w:tcW w:w="46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Tables in the database</w:t>
            </w:r>
          </w:p>
        </w:tc>
        <w:tc>
          <w:tcPr>
            <w:tcW w:w="4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241</w:t>
            </w:r>
          </w:p>
        </w:tc>
      </w:tr>
      <w:tr>
        <w:tc>
          <w:tcPr>
            <w:tcW w:w="46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Tables with no update timestamp</w:t>
            </w:r>
          </w:p>
        </w:tc>
        <w:tc>
          <w:tcPr>
            <w:tcW w:w="4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162 (67%)</w:t>
            </w:r>
          </w:p>
        </w:tc>
      </w:tr>
      <w:tr>
        <w:tc>
          <w:tcPr>
            <w:tcW w:w="46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Tables with no primary key</w:t>
            </w:r>
          </w:p>
        </w:tc>
        <w:tc>
          <w:tcPr>
            <w:tcW w:w="4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</w:tr>
      <w:tr>
        <w:tc>
          <w:tcPr>
            <w:tcW w:w="46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Composite primary keys</w:t>
            </w:r>
          </w:p>
        </w:tc>
        <w:tc>
          <w:tcPr>
            <w:tcW w:w="4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w="46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Case-colliding column names</w:t>
            </w:r>
          </w:p>
        </w:tc>
        <w:tc>
          <w:tcPr>
            <w:tcW w:w="4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w="46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Credential-looking columns</w:t>
            </w:r>
          </w:p>
        </w:tc>
        <w:tc>
          <w:tcPr>
            <w:tcW w:w="4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</w:tr>
      <w:tr>
        <w:tc>
          <w:tcPr>
            <w:tcW w:w="46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Possible citizen register numbers</w:t>
            </w:r>
          </w:p>
        </w:tc>
        <w:tc>
          <w:tcPr>
            <w:tcW w:w="4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</w:tbl>
    <w:p>
      <w:pPr>
        <w:spacing w:after="0"/>
      </w:pPr>
      <w:r>
        <w:rPr>
          <w:sz w:val="8"/>
        </w:rPr>
        <w:t xml:space="preserve"/>
      </w:r>
    </w:p>
    <w:p>
      <w:pPr>
        <w:pStyle w:val="Heading2"/>
        <w:spacing w:after="160"/>
      </w:pPr>
      <w:r>
        <w:rPr>
          <w:b/>
          <w:sz w:val="26"/>
        </w:rPr>
        <w:t xml:space="preserve">2. Stored secrets — highest priority</w:t>
      </w:r>
    </w:p>
    <w:p>
      <w:pPr>
        <w:spacing w:after="140"/>
      </w:pPr>
      <w:r>
        <w:rPr>
          <w:sz w:val="20"/>
        </w:rPr>
        <w:t xml:space="preserve">Whether these hold plaintext cannot be told from a schema. Two things can: a column named for its protection (passwordHash) tells a reader it is hashed, and a column too short to hold any standard hash cannot be storing one.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00"/>
        <w:gridCol w:w="2400"/>
        <w:gridCol w:w="1500"/>
        <w:gridCol w:w="2100"/>
      </w:tblGrid>
      <w:tr>
        <w:trPr>
          <w:tblHeader/>
        </w:trPr>
        <w:tc>
          <w:tcPr>
            <w:tcW w:w="30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Column</w:t>
            </w:r>
          </w:p>
        </w:tc>
        <w:tc>
          <w:tcPr>
            <w:tcW w:w="24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Type</w:t>
            </w:r>
          </w:p>
        </w:tc>
        <w:tc>
          <w:tcPr>
            <w:tcW w:w="15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Named as protected</w:t>
            </w:r>
          </w:p>
        </w:tc>
        <w:tc>
          <w:tcPr>
            <w:tcW w:w="21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Note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adminaccount.tokenVersion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int NOT NULL DEFAULT '0'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apartment.stateEBillinLoginPass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varchar(45) DEFAULT NULL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branch.khanToken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varchar(545) CHARACTER SET utf8mb3 COLLATE utf8mb3_general_ci DEFAULT NULL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couponcreater.password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varchar(20) DEFAULT NULL</w:t>
            </w:r>
          </w:p>
        </w:tc>
        <w:tc>
          <w:tcPr>
            <w:tcW w:w="1500" w:type="dxa"/>
            <w:shd w:val="clear" w:color="auto" w:fill="FCE4D6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cannot hold any standard hash (20 chars)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negdicard.tokenid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int DEFAULT NULL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notification.token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varchar(145) DEFAULT NULL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paymentpartner.qpayLoginPass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varchar(145) DEFAULT NULL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paymentpartner.qpayToken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varchar(545) DEFAULT NULL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paymentpartner.tokenDate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datetime DEFAULT NULL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qpaytoken.token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varchar(1045) DEFAULT NULL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qpaytokensb.token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varchar(1045) DEFAULT NULL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secondsystem.password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varchar(255) DEFAULT NULL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secondsystem.token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text</w:t>
            </w:r>
          </w:p>
        </w:tc>
        <w:tc>
          <w:tcPr>
            <w:tcW w:w="1500" w:type="dxa"/>
            <w:shd w:val="clear" w:color="auto" w:fill="FCE4D6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no length limit declared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secondsystem.tokenExpired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datetime DEFAULT NULL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systemadmin.loginPass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varchar(100) NOT NULL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town.stateBankTransLoginPass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varchar(45) DEFAULT NULL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town.khanToken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varchar(245) DEFAULT NULL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towncorporate.loginPass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varchar(100) DEFAULT NULL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towncorporate.token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varchar(500) DEFAULT NULL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tttoken.token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varchar(1000) DEFAULT NULL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user.loginPass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varchar(105) DEFAULT NULL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user.mobileToken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varchar(100) DEFAULT NULL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worker.loginPass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varchar(100) DEFAULT NULL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worker.mobileToken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varchar(250) DEFAULT NULL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workernotification.token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varchar(255) DEFAULT NULL</w:t>
            </w:r>
          </w:p>
        </w:tc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/>
            </w:r>
          </w:p>
        </w:tc>
      </w:tr>
    </w:tbl>
    <w:p>
      <w:pPr>
        <w:spacing w:after="0"/>
      </w:pPr>
      <w:r>
        <w:rPr>
          <w:sz w:val="8"/>
        </w:rPr>
        <w:t xml:space="preserve"/>
      </w:r>
    </w:p>
    <w:p>
      <w:pPr>
        <w:ind w:left="360"/>
        <w:spacing w:after="90"/>
      </w:pPr>
      <w:r>
        <w:rPr>
          <w:sz w:val="20"/>
        </w:rPr>
        <w:t xml:space="preserve">—  For each column above: is the value plaintext, reversibly encrypted, or hashed? If hashed, which algorithm?</w:t>
      </w:r>
    </w:p>
    <w:p>
      <w:pPr>
        <w:ind w:left="360"/>
        <w:spacing w:after="90"/>
      </w:pPr>
      <w:r>
        <w:rPr>
          <w:sz w:val="20"/>
        </w:rPr>
        <w:t xml:space="preserve">—  Any plaintext password: hash with bcrypt or argon2 and force a reset cycle.</w:t>
      </w:r>
    </w:p>
    <w:p>
      <w:pPr>
        <w:ind w:left="360"/>
        <w:spacing w:after="90"/>
      </w:pPr>
      <w:r>
        <w:rPr>
          <w:sz w:val="20"/>
        </w:rPr>
        <w:t xml:space="preserve">—  Any credential that must stay replayable (third-party logins): encrypt at rest with a key held outside the database.</w:t>
      </w:r>
    </w:p>
    <w:p>
      <w:pPr>
        <w:ind w:left="360"/>
        <w:spacing w:after="90"/>
      </w:pPr>
      <w:r>
        <w:rPr>
          <w:sz w:val="20"/>
        </w:rPr>
        <w:t xml:space="preserve">—  Rename to state the protection (password -&gt; passwordHash), so the next reader does not have to ask.</w:t>
      </w:r>
    </w:p>
    <w:p>
      <w:pPr>
        <w:ind w:left="360"/>
        <w:spacing w:after="90"/>
      </w:pPr>
      <w:r>
        <w:rPr>
          <w:sz w:val="20"/>
        </w:rPr>
        <w:t xml:space="preserve">—  Declare a length. An unbounded text column for a secret hides both truncation bugs and unexpected values.</w:t>
      </w:r>
    </w:p>
    <w:p>
      <w:r>
        <w:br w:type="page"/>
      </w:r>
    </w:p>
    <w:p>
      <w:pPr>
        <w:pStyle w:val="Heading2"/>
        <w:spacing w:after="160"/>
      </w:pPr>
      <w:r>
        <w:rPr>
          <w:b/>
          <w:sz w:val="26"/>
        </w:rPr>
        <w:t xml:space="preserve">3. Missing update timestamps</w:t>
      </w:r>
    </w:p>
    <w:p>
      <w:pPr>
        <w:spacing w:after="140"/>
      </w:pPr>
      <w:r>
        <w:rPr>
          <w:sz w:val="20"/>
        </w:rPr>
        <w:t xml:space="preserve">162 of 241 tables have no updatedAt-style column. Without one there is no way to ask "what changed since last night?", so the platform must re-read the entire table on every run. For small reference tables that is harmless. For large transactional tables it is a full scan every night, forever. Adding a column that is set on every update converts that into reading only the rows that actually changed.</w:t>
      </w:r>
    </w:p>
    <w:p>
      <w:pPr>
        <w:spacing w:after="140"/>
      </w:pPr>
      <w:r>
        <w:rPr>
          <w:b/>
          <w:sz w:val="20"/>
        </w:rPr>
        <w:t xml:space="preserve">The clearest case is monthlypayment at 16.5 million rows. It has regDate (creation) but no update timestamp, and regDate cannot be used as a substitute: isApprove changes after insert, so a creation-timestamp watermark would fetch a row once and never notice it was later approved.</w:t>
      </w:r>
    </w:p>
    <w:p>
      <w:pPr>
        <w:spacing w:after="140"/>
      </w:pPr>
      <w:r>
        <w:rPr>
          <w:sz w:val="17"/>
        </w:rPr>
        <w:t xml:space="preserve">action, adminaction, advertise, advertisebranch, aiinfo, answer, apartment, apartmentpaymentgroup, balance, balancegraph, balancehistory, barrier, branchbalance, branchextracharge, branchhelp, branchhelpimage, branchinfo, branchinfofile, branchinfoimage, branchinfowhom, branchpaymentdetail, camera, capital, capitalfiles, capitalimages, capitalrepairs, capitalworker, car, cartemp, category, chatbotanswer, chip, chipbarrier, comment, company, companybranch, companycapital, complainfiles, complainimages, complainresult, conciergeitem, conciergemenu, contract, cost, counter, couponbranch, defaultaction, electricuser, errorvat, files, forum, forumfiles, forumimages, forumlike, forumwho, garage_raw_import, graphsummary, help, helpcommentimage, images, incomebytypes, incomepivot, information, infowhom, inouthistory, internaladimage, internaladwhom, khanpaylog, liftfloor, like, log, mainconfig, massmail, message, messagerecieved, meter, method, methodtype, monthlyconfig, monthlypayment, monthlypaymentapproved, monthremain, nearbyservice, negdicard, news, newsfiles, newsimages, note, notification, otp, otpv2, paymentapprove, paymentapprovejob, paymentgroup, paymentpartner, paymenttypereport, performance, phone, poll_answer, poll_apartment, poll_chose_users, poll_file, poll_picture, poll_question, pollapartment, pollchose, pollresult, pollwhom, position, priceinfo, priceinfomethod, process, processcomment, profession, property, property260226, propertyconfig, propertydept, protopro, qpaytoken, qpaytokensb, ratebranchinfo, ratecompany, rateworker, reference, rent, room, roomimage, roomorder, salesprocess, service, signuplog, statebalancedifference, statepayment, staterawtransaction, statesuberrors, tablename, taskattachment, taskcommentattachment, taskhistory, tdbpaylog, tempdel, tempreport, town, towncorporate, townsealimage, tttoken, useradvertise, userbarrier, usernote, useropenbarrier, userproperty, word, work, workeraction, workerapartment, workernotification, workerratingdetail, workerwork, workfiles, workimages, wrongmail</w:t>
      </w:r>
    </w:p>
    <w:p>
      <w:pPr>
        <w:pStyle w:val="Heading2"/>
        <w:spacing w:after="160"/>
      </w:pPr>
      <w:r>
        <w:rPr>
          <w:b/>
          <w:sz w:val="26"/>
        </w:rPr>
        <w:t xml:space="preserve">4. Structural issues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w="26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Issue</w:t>
            </w:r>
          </w:p>
        </w:tc>
        <w:tc>
          <w:tcPr>
            <w:tcW w:w="32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Where</w:t>
            </w:r>
          </w:p>
        </w:tc>
        <w:tc>
          <w:tcPr>
            <w:tcW w:w="32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Why it matters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No primary key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forumwho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Rows cannot be merged or de-duplicated reliably; the platform must fall back to replacing the whole table.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Possible citizen register numbers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branch.branchRegister, probill.vatRegister, worker.register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varchar(10) matches the Mongolian citizen register format. If these are personal identity numbers they need the same care as passwords: restricted access, audit logging and a retention limit.</w:t>
            </w:r>
          </w:p>
        </w:tc>
      </w:tr>
    </w:tbl>
    <w:p>
      <w:pPr>
        <w:spacing w:after="0"/>
      </w:pPr>
      <w:r>
        <w:rPr>
          <w:sz w:val="8"/>
        </w:rPr>
        <w:t xml:space="preserve"/>
      </w:r>
    </w:p>
    <w:p>
      <w:pPr>
        <w:pStyle w:val="Heading2"/>
        <w:spacing w:after="160"/>
      </w:pPr>
      <w:r>
        <w:rPr>
          <w:b/>
          <w:sz w:val="26"/>
        </w:rPr>
        <w:t xml:space="preserve">5. Data quality: branch province/district mismatch</w:t>
      </w:r>
    </w:p>
    <w:p>
      <w:pPr>
        <w:spacing w:after="140"/>
      </w:pPr>
      <w:r>
        <w:rPr>
          <w:sz w:val="20"/>
        </w:rPr>
        <w:t xml:space="preserve">8 of 432 branch rows have a district that does not belong to their province; 7 of the 8 are Chingeltei duureg, an Ulaanbaatar district, recorded under rural aimags. The newest was created 2026-09-03, so this is ongoing. Likely cause: the district dropdown is not reset when the province changes. Fix: reject on save when reference.root(district) &lt;&gt; province. See the separate bug report.</w:t>
      </w:r>
    </w:p>
    <w:p>
      <w:pPr>
        <w:pStyle w:val="Heading2"/>
        <w:spacing w:after="160"/>
      </w:pPr>
      <w:r>
        <w:rPr>
          <w:b/>
          <w:sz w:val="26"/>
        </w:rPr>
        <w:t xml:space="preserve">town stores third-party bank credentials</w:t>
      </w:r>
    </w:p>
    <w:p>
      <w:pPr>
        <w:spacing w:after="140"/>
      </w:pPr>
      <w:r>
        <w:rPr>
          <w:sz w:val="20"/>
        </w:rPr>
        <w:t xml:space="preserve">town.stateBankTransLoginName / stateBankTransLoginPass and khanToken hold credentials for an external bank system. These must be replayable, so they cannot be hashed - the question is how they are encrypted at rest and where the key lives.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</w:docDefaults>
  <w:style w:type="paragraph" w:default="1" w:styleId="Normal">
    <w:name w:val="Normal"/>
  </w:style>
  <w:style w:type="paragraph" w:styleId="Heading1">
    <w:name w:val="heading 1"/>
    <w:pPr>
      <w:outlineLvl w:val="0"/>
    </w:pPr>
    <w:rPr>
      <w:b/>
      <w:sz w:val="32"/>
      <w:color w:val="1F3864"/>
    </w:rPr>
  </w:style>
  <w:style w:type="paragraph" w:styleId="Heading2">
    <w:name w:val="heading 2"/>
    <w:pPr>
      <w:outlineLvl w:val="1"/>
    </w:pPr>
    <w:rPr>
      <w:b/>
      <w:sz w:val="26"/>
      <w:color w:val="2E5496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</Relationships>
</file>