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60"/>
      </w:pPr>
      <w:r>
        <w:rPr>
          <w:b/>
          <w:sz w:val="32"/>
        </w:rPr>
        <w:t xml:space="preserve">sma — recommended source-database fixes</w:t>
      </w:r>
    </w:p>
    <w:p>
      <w:pPr>
        <w:spacing w:after="200"/>
      </w:pPr>
      <w:r>
        <w:rPr>
          <w:i/>
          <w:sz w:val="20"/>
        </w:rPr>
        <w:t xml:space="preserve">HTI analytics platform · prepared 30 September 2026 · for the sma engineering team</w:t>
      </w:r>
    </w:p>
    <w:p>
      <w:pPr>
        <w:spacing w:after="200"/>
      </w:pPr>
      <w:r>
        <w:rPr>
          <w:sz w:val="20"/>
        </w:rPr>
        <w:t xml:space="preserve">Findings come from the database schema only. No table data was read, so where a column looks like a stored secret we can say what the definition allows, not what the values are — those questions are for your team. Each item says what it costs the analytics platform, so you can weigh it against your own priorities.</w:t>
      </w:r>
    </w:p>
    <w:p>
      <w:pPr>
        <w:pStyle w:val="Heading2"/>
        <w:spacing w:after="160"/>
      </w:pPr>
      <w:r>
        <w:rPr>
          <w:b/>
          <w:sz w:val="26"/>
        </w:rPr>
        <w:t xml:space="preserve">1. Summary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00"/>
        <w:gridCol w:w="4400"/>
      </w:tblGrid>
      <w:tr>
        <w:trPr>
          <w:tblHeader/>
        </w:trPr>
        <w:tc>
          <w:tcPr>
            <w:tcW w:w="46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Tables in the database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34</w:t>
            </w:r>
          </w:p>
        </w:tc>
      </w:tr>
      <w:tr>
        <w:tc>
          <w:tcPr>
            <w:tcW w:w="46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Tables with no update timestamp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 (5%)</w:t>
            </w:r>
          </w:p>
        </w:tc>
      </w:tr>
      <w:tr>
        <w:tc>
          <w:tcPr>
            <w:tcW w:w="46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Tables with no primary key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46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Composite primary keys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46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Case-colliding column names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46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Credential-looking columns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46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Possible citizen register numbers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</w:tbl>
    <w:p>
      <w:pPr>
        <w:spacing w:after="0"/>
      </w:pPr>
      <w:r>
        <w:rPr>
          <w:sz w:val="8"/>
        </w:rPr>
        <w:t xml:space="preserve"/>
      </w:r>
    </w:p>
    <w:p>
      <w:pPr>
        <w:pStyle w:val="Heading2"/>
        <w:spacing w:after="160"/>
      </w:pPr>
      <w:r>
        <w:rPr>
          <w:b/>
          <w:sz w:val="26"/>
        </w:rPr>
        <w:t xml:space="preserve">2. Stored secrets — highest priority</w:t>
      </w:r>
    </w:p>
    <w:p>
      <w:pPr>
        <w:spacing w:after="140"/>
      </w:pPr>
      <w:r>
        <w:rPr>
          <w:sz w:val="20"/>
        </w:rPr>
        <w:t xml:space="preserve">Whether these hold plaintext cannot be told from a schema. Two things can: a column named for its protection (passwordHash) tells a reader it is hashed, and a column too short to hold any standard hash cannot be storing one.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2400"/>
        <w:gridCol w:w="1500"/>
        <w:gridCol w:w="2100"/>
      </w:tblGrid>
      <w:tr>
        <w:trPr>
          <w:tblHeader/>
        </w:trPr>
        <w:tc>
          <w:tcPr>
            <w:tcW w:w="30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Column</w:t>
            </w:r>
          </w:p>
        </w:tc>
        <w:tc>
          <w:tcPr>
            <w:tcW w:w="24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Type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Named as protected</w:t>
            </w:r>
          </w:p>
        </w:tc>
        <w:tc>
          <w:tcPr>
            <w:tcW w:w="21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Note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Users.expoToken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varchar(145) DEFAULT NULL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Users.pin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varchar(300) DEFAULT NULL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</w:tbl>
    <w:p>
      <w:pPr>
        <w:spacing w:after="0"/>
      </w:pPr>
      <w:r>
        <w:rPr>
          <w:sz w:val="8"/>
        </w:rPr>
        <w:t xml:space="preserve"/>
      </w:r>
    </w:p>
    <w:p>
      <w:pPr>
        <w:ind w:left="360"/>
        <w:spacing w:after="90"/>
      </w:pPr>
      <w:r>
        <w:rPr>
          <w:sz w:val="20"/>
        </w:rPr>
        <w:t xml:space="preserve">—  For each column above: is the value plaintext, reversibly encrypted, or hashed? If hashed, which algorithm?</w:t>
      </w:r>
    </w:p>
    <w:p>
      <w:pPr>
        <w:ind w:left="360"/>
        <w:spacing w:after="90"/>
      </w:pPr>
      <w:r>
        <w:rPr>
          <w:sz w:val="20"/>
        </w:rPr>
        <w:t xml:space="preserve">—  Any plaintext password: hash with bcrypt or argon2 and force a reset cycle.</w:t>
      </w:r>
    </w:p>
    <w:p>
      <w:pPr>
        <w:ind w:left="360"/>
        <w:spacing w:after="90"/>
      </w:pPr>
      <w:r>
        <w:rPr>
          <w:sz w:val="20"/>
        </w:rPr>
        <w:t xml:space="preserve">—  Any credential that must stay replayable (third-party logins): encrypt at rest with a key held outside the database.</w:t>
      </w:r>
    </w:p>
    <w:p>
      <w:pPr>
        <w:ind w:left="360"/>
        <w:spacing w:after="90"/>
      </w:pPr>
      <w:r>
        <w:rPr>
          <w:sz w:val="20"/>
        </w:rPr>
        <w:t xml:space="preserve">—  Rename to state the protection (password -&gt; passwordHash), so the next reader does not have to ask.</w:t>
      </w:r>
    </w:p>
    <w:p>
      <w:pPr>
        <w:ind w:left="360"/>
        <w:spacing w:after="90"/>
      </w:pPr>
      <w:r>
        <w:rPr>
          <w:sz w:val="20"/>
        </w:rPr>
        <w:t xml:space="preserve">—  Declare a length. An unbounded text column for a secret hides both truncation bugs and unexpected values.</w:t>
      </w:r>
    </w:p>
    <w:p>
      <w:r>
        <w:br w:type="page"/>
      </w:r>
    </w:p>
    <w:p>
      <w:pPr>
        <w:pStyle w:val="Heading2"/>
        <w:spacing w:after="160"/>
      </w:pPr>
      <w:r>
        <w:rPr>
          <w:b/>
          <w:sz w:val="26"/>
        </w:rPr>
        <w:t xml:space="preserve">3. Missing update timestamps</w:t>
      </w:r>
    </w:p>
    <w:p>
      <w:pPr>
        <w:spacing w:after="140"/>
      </w:pPr>
      <w:r>
        <w:rPr>
          <w:sz w:val="20"/>
        </w:rPr>
        <w:t xml:space="preserve">2 of 34 tables have no updatedAt-style column. Without one there is no way to ask "what changed since last night?", so the platform must re-read the entire table on every run. For small reference tables that is harmless. For large transactional tables it is a full scan every night, forever. Adding a column that is set on every update converts that into reading only the rows that actually changed.</w:t>
      </w:r>
    </w:p>
    <w:p>
      <w:pPr>
        <w:spacing w:after="140"/>
      </w:pPr>
      <w:r>
        <w:rPr>
          <w:sz w:val="17"/>
        </w:rPr>
        <w:t xml:space="preserve">userCarPostgre, userCarPostgres</w:t>
      </w:r>
    </w:p>
    <w:p>
      <w:pPr>
        <w:pStyle w:val="Heading2"/>
        <w:spacing w:after="160"/>
      </w:pPr>
      <w:r>
        <w:rPr>
          <w:b/>
          <w:sz w:val="26"/>
        </w:rPr>
        <w:t xml:space="preserve">4. Structural issues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w="26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Issue</w:t>
            </w:r>
          </w:p>
        </w:tc>
        <w:tc>
          <w:tcPr>
            <w:tcW w:w="32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Where</w:t>
            </w:r>
          </w:p>
        </w:tc>
        <w:tc>
          <w:tcPr>
            <w:tcW w:w="32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Why it matters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Composite primary key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UserCars (userId, carId)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Supported, but a single surrogate key is simpler for incremental loading and downstream joins.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Composite primary key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userCarPostgres (plateNumber, userId)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Supported, but a single surrogate key is simpler for incremental loading and downstream joins.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Possible citizen register numbers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AuctionSubscriptionBills.companyRegister, Users.registerNo, auctionOfferSubscriptionBills.companyRegister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varchar(10) matches the Mongolian citizen register format. If these are personal identity numbers they need the same care as passwords: restricted access, audit logging and a retention limit.</w:t>
            </w:r>
          </w:p>
        </w:tc>
      </w:tr>
    </w:tbl>
    <w:p>
      <w:pPr>
        <w:spacing w:after="0"/>
      </w:pPr>
      <w:r>
        <w:rPr>
          <w:sz w:val="8"/>
        </w:rPr>
        <w:t xml:space="preserve"/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</w:docDefaults>
  <w:style w:type="paragraph" w:default="1" w:styleId="Normal">
    <w:name w:val="Normal"/>
  </w:style>
  <w:style w:type="paragraph" w:styleId="Heading1">
    <w:name w:val="heading 1"/>
    <w:pPr>
      <w:outlineLvl w:val="0"/>
    </w:pPr>
    <w:rPr>
      <w:b/>
      <w:sz w:val="32"/>
      <w:color w:val="1F3864"/>
    </w:rPr>
  </w:style>
  <w:style w:type="paragraph" w:styleId="Heading2">
    <w:name w:val="heading 2"/>
    <w:pPr>
      <w:outlineLvl w:val="1"/>
    </w:pPr>
    <w:rPr>
      <w:b/>
      <w:sz w:val="26"/>
      <w:color w:val="2E549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</Relationships>
</file>