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spacing w:after="160"/>
      </w:pPr>
      <w:r>
        <w:rPr>
          <w:b/>
          <w:sz w:val="32"/>
        </w:rPr>
        <w:t xml:space="preserve">myproperty — data copy review</w:t>
      </w:r>
    </w:p>
    <w:p>
      <w:pPr>
        <w:spacing w:after="200"/>
      </w:pPr>
      <w:r>
        <w:rPr>
          <w:i/>
          <w:sz w:val="20"/>
        </w:rPr>
        <w:t xml:space="preserve">HTI analytics platform · prepared 30 September 2026 · for data-officer review</w:t>
      </w:r>
    </w:p>
    <w:p>
      <w:pPr>
        <w:spacing w:after="200"/>
      </w:pPr>
      <w:r>
        <w:rPr>
          <w:sz w:val="20"/>
        </w:rPr>
        <w:t xml:space="preserve">This document records which tables and columns the analytics platform proposes to copy from myproperty, and which it refuses. Filtering works by omission: a column that is not listed is never copied. Nothing here is approved until a purpose reference is assigned to every row and the control table is signed.</w:t>
      </w:r>
    </w:p>
    <w:p>
      <w:pPr>
        <w:pStyle w:val="Heading2"/>
        <w:spacing w:after="160"/>
      </w:pPr>
      <w:r>
        <w:rPr>
          <w:b/>
          <w:sz w:val="26"/>
        </w:rPr>
        <w:t xml:space="preserve">1. Summary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00"/>
        <w:gridCol w:w="5000"/>
      </w:tblGrid>
      <w:tr>
        <w:tc>
          <w:tcPr>
            <w:tcW w:w="40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Source system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myproperty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Database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myproperty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Engine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PostgreSQL 16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in the database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96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proposed for copying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79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excluded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17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Accounted for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96 of 96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Currently loaded into the lake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 (review subset only)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Rows with a purpose reference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0 of 79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Validator verdict</w:t>
            </w:r>
          </w:p>
        </w:tc>
        <w:tc>
          <w:tcPr>
            <w:tcW w:w="5000" w:type="dxa"/>
            <w:shd w:val="clear" w:color="auto" w:fill="FCE4D6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REJECTED — 79 × CT013 (no purpose assigned)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pPr>
        <w:pStyle w:val="Heading2"/>
        <w:spacing w:after="160"/>
      </w:pPr>
      <w:r>
        <w:rPr>
          <w:b/>
          <w:sz w:val="26"/>
        </w:rPr>
        <w:t xml:space="preserve">2. Outstanding decisions</w:t>
      </w:r>
    </w:p>
    <w:p>
      <w:pPr>
        <w:ind w:left="360"/>
        <w:spacing w:after="100"/>
      </w:pPr>
      <w:r>
        <w:rPr>
          <w:sz w:val="20"/>
        </w:rPr>
        <w:t xml:space="preserve">—  Assign a purpose reference to all 79 rows. Currently 0 are set, so the platform refuses to load anything from this system.</w:t>
      </w:r>
    </w:p>
    <w:p>
      <w:pPr>
        <w:ind w:left="360"/>
        <w:spacing w:after="100"/>
      </w:pPr>
      <w:r>
        <w:rPr>
          <w:sz w:val="20"/>
        </w:rPr>
        <w:t xml:space="preserve">—  Confirm the target layer per table. Every row is set to bronze, which is deleted within 24 hours. Promotion to bronze-ref, retained longer, suits only tables with no personal data — including none reachable through a foreign key.</w:t>
      </w:r>
    </w:p>
    <w:p>
      <w:pPr>
        <w:ind w:left="360"/>
        <w:spacing w:after="100"/>
      </w:pPr>
      <w:r>
        <w:rPr>
          <w:sz w:val="20"/>
        </w:rPr>
        <w:t xml:space="preserve">—  2 column(s) must be banded or grouped before reaching gold (birth date to age band, latitude/longitude to location group). Confirm that transform exists.</w:t>
      </w:r>
    </w:p>
    <w:p>
      <w:pPr>
        <w:ind w:left="360"/>
        <w:spacing w:after="100"/>
      </w:pPr>
      <w:r>
        <w:rPr>
          <w:sz w:val="20"/>
        </w:rPr>
        <w:t xml:space="preserve">—  Review section 6. The filter deliberately over-detects, so a harmless label such as a service-category name is blocked alongside a genuine person name. Each false positive is cleared in the exceptions file with a written justification and an approver name.</w:t>
      </w:r>
    </w:p>
    <w:p>
      <w:pPr>
        <w:pStyle w:val="Heading2"/>
        <w:spacing w:after="160"/>
      </w:pPr>
      <w:r>
        <w:rPr>
          <w:b/>
          <w:sz w:val="26"/>
        </w:rPr>
        <w:t xml:space="preserve">3. How the filter decides</w:t>
      </w:r>
    </w:p>
    <w:p>
      <w:pPr>
        <w:spacing w:after="140"/>
      </w:pPr>
      <w:r>
        <w:rPr>
          <w:sz w:val="20"/>
        </w:rPr>
        <w:t xml:space="preserve">Every column and table name is checked against the rules below. The rules deliberately over-detect: a false positive costs one review, a false negative copies personal data. Cleared exceptions are recorded with a written justification and an approver name.</w:t>
      </w:r>
    </w:p>
    <w:tbl>
      <w:tblPr>
        <w:tblW w:w="87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00"/>
        <w:gridCol w:w="2100"/>
        <w:gridCol w:w="5150"/>
      </w:tblGrid>
      <w:tr>
        <w:trPr>
          <w:tblHeader/>
        </w:trPr>
        <w:tc>
          <w:tcPr>
            <w:tcW w:w="15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Rule</w:t>
            </w:r>
          </w:p>
        </w:tc>
        <w:tc>
          <w:tcPr>
            <w:tcW w:w="21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Effect</w:t>
            </w:r>
          </w:p>
        </w:tc>
        <w:tc>
          <w:tcPr>
            <w:tcW w:w="51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What it catches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CT013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blocks the row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 purpose reference. Nothing may be copied without a lawful purpose recorded in the purpose register.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CT014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excludes the table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tables — forum, chat, message, comment, complaint, poll, news, notification, helpdesk. The content is the payload, so the whole table is excluded, not filtered.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CT015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drops the column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Names, surnames, phone numbers, emails, registration and passport numbers, and photographs of people (image, avatar, photo, picture). Dropped outright — never tokenised.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CT016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drops the column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Free text — note, comment, remark, description, message, body, content, reason, answer, title, subject. Free text can contain anything, including personal data.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CT018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drops the column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Stored secrets — password, PIN, API token, hash, bank account number, account holder, and verification codes (validateCode, verificationCode). Secrets have no analytical value.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CT019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excludes the table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Credential stores — tables whose purpose is holding a secret (OTP, token, password reset, user PIN). Excluded whatever the columns are called, because the secret is often in a column merely named "code".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CT106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warns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Personal attributes needing banding before gold — gender, birth date, latitude, longitude. Permitted in bronze so silver can transform them (birth date to age band, coordinates to location group).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pPr>
        <w:spacing w:after="120"/>
      </w:pPr>
      <w:r>
        <w:rPr>
          <w:sz w:val="20"/>
        </w:rPr>
        <w:t xml:space="preserve">Filtering works by omission. A column is excluded simply by not appearing in the allowed list — there is no masking step to configure and nothing to forget. A wildcard is refused outright, so a new column added by an application update cannot flow through until it is approved.</w:t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4. Tables proposed for copying (79)</w:t>
      </w:r>
    </w:p>
    <w:tbl>
      <w:tblPr>
        <w:tblW w:w="87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600"/>
        <w:gridCol w:w="2500"/>
        <w:gridCol w:w="1050"/>
        <w:gridCol w:w="1300"/>
        <w:gridCol w:w="1150"/>
        <w:gridCol w:w="1350"/>
        <w:gridCol w:w="800"/>
      </w:tblGrid>
      <w:tr>
        <w:trPr>
          <w:tblHeader/>
        </w:trPr>
        <w:tc>
          <w:tcPr>
            <w:tcW w:w="6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w="25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Source table</w:t>
            </w:r>
          </w:p>
        </w:tc>
        <w:tc>
          <w:tcPr>
            <w:tcW w:w="10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Layer</w:t>
            </w:r>
          </w:p>
        </w:tc>
        <w:tc>
          <w:tcPr>
            <w:tcW w:w="13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Load mode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Primary key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Watermark</w:t>
            </w:r>
          </w:p>
        </w:tc>
        <w:tc>
          <w:tcPr>
            <w:tcW w:w="8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Cols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action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archiveFile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bankStatement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bankStatementPayment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block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branchBuilding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branchBuildingCorporate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branchBuildingPaymentInfo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branchBuildingVatInfo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branchCorporate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branchInvoice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branchInvoiceHistory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branchPaymentInfo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branchRegistration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branchRegistrationStep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branchVatInfo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branchWallet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branchWalletTransaction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branchWorkReport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building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capitalCategory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capitalDisposal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capitalItem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capitalLocation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capitalMaintenance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contract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contractBalance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updated_at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contractBalanceHistory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contractDepositHistory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contractDepositInvoice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contractHistory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contractRemainReason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updated_at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contractRoom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contractRoomService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email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floor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internalMilestone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internalPlan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internalWorkTask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invoice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invoiceBucket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invoiceItem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invoiceItemService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invoiceLateFee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invoicePayment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meter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meterReading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onboardingRequest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owner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ownerHistory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payment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paymentReverseHistory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plan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planGoal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qpayHistory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recurringInvoice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rentalAgreement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room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roomBooking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22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roomBookingSetting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roomId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roomHistory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roomType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service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servicePack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servicePackItem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servicePackSyncTask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task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taskActivity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tenant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tenantBalance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updated_at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tenantBalanceHistory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tenantHistory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tenantMember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vat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worker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workerAction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workerBuilding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workerLog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5. Tables excluded (17)</w:t>
      </w:r>
    </w:p>
    <w:p>
      <w:pPr>
        <w:spacing w:after="140"/>
      </w:pPr>
      <w:r>
        <w:rPr>
          <w:sz w:val="20"/>
        </w:rPr>
        <w:t xml:space="preserve">These are not copied at all. Correspondence tables are excluded whole rather than column-filtered, because the sensitive content is the payload itself.</w:t>
      </w:r>
    </w:p>
    <w:tbl>
      <w:tblPr>
        <w:tblW w:w="87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600"/>
        <w:gridCol w:w="2500"/>
        <w:gridCol w:w="5650"/>
      </w:tblGrid>
      <w:tr>
        <w:trPr>
          <w:tblHeader/>
        </w:trPr>
        <w:tc>
          <w:tcPr>
            <w:tcW w:w="6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w="25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Source table</w:t>
            </w:r>
          </w:p>
        </w:tc>
        <w:tc>
          <w:tcPr>
            <w:tcW w:w="56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Why it is not copied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branchBuildingMessageFormat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['message']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branchMessageFormat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['message']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branchSupportVar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['support']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contractTemplate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ad-hoc / temp / duplicate-looking table - not a stable interface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ekontorCredential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credential store (matched ['credential']) - exists to hold secrets; no analytical value, never copied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helpRequest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['help']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message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['message']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news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['news']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newsRead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['news']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notification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['notification']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poll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['poll']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pollAnswer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['answer', 'poll']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pollOption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['poll']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pollQuestion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['poll', 'question']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pollResponse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['poll']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userNotification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['notification']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workerDeviceToken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credential store (matched ['token']) - exists to hold secrets; no analytical value, never copied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6. Allowed columns, per table</w:t>
      </w:r>
    </w:p>
    <w:p>
      <w:pPr>
        <w:spacing w:after="160"/>
      </w:pPr>
      <w:r>
        <w:rPr>
          <w:sz w:val="20"/>
        </w:rPr>
        <w:t xml:space="preserve">Every column the platform would copy. Anything absent from these lists stays in the source database. Please strike out anything that should not be copied.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action</w:t>
      </w:r>
      <w:r>
        <w:rPr>
          <w:i/>
          <w:sz w:val="17"/>
        </w:rPr>
        <w:t xml:space="preserve">   (3 columns)</w:t>
      </w:r>
    </w:p>
    <w:p>
      <w:pPr>
        <w:ind w:left="240"/>
        <w:spacing w:after="120"/>
      </w:pPr>
      <w:r>
        <w:rPr>
          <w:sz w:val="17"/>
        </w:rPr>
        <w:t xml:space="preserve">id, rootId, type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archiveFile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branchId, fileUrl, filePath, mimeType, fileSize, uploadedBy,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bankStatement</w:t>
      </w:r>
      <w:r>
        <w:rPr>
          <w:i/>
          <w:sz w:val="17"/>
        </w:rPr>
        <w:t xml:space="preserve">   (17 columns)</w:t>
      </w:r>
    </w:p>
    <w:p>
      <w:pPr>
        <w:ind w:left="240"/>
        <w:spacing w:after="120"/>
      </w:pPr>
      <w:r>
        <w:rPr>
          <w:sz w:val="17"/>
        </w:rPr>
        <w:t xml:space="preserve">id, branchId, bankCode, transactionDate, amount, referenceNo, relatedAccount, externalId, direction, status, contractId, paymentId, appliedBy, appliedAt, raw,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bankStatementPayment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bankStatementId, paymentId, contractId, amount, createdAt, updatedAt, isDepositPayment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block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buildingId, code, totalFloors, totalArea,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</w:t>
      </w:r>
      <w:r>
        <w:rPr>
          <w:i/>
          <w:sz w:val="17"/>
        </w:rPr>
        <w:t xml:space="preserve">   (16 columns)</w:t>
      </w:r>
    </w:p>
    <w:p>
      <w:pPr>
        <w:ind w:left="240"/>
        <w:spacing w:after="120"/>
      </w:pPr>
      <w:r>
        <w:rPr>
          <w:sz w:val="17"/>
        </w:rPr>
        <w:t xml:space="preserve">id, address, logoUrl, sealUrl, startDate, status, contractDraftUrl, createdAt, updatedAt, subscriptionPlan, showDetailedInfo, canSkipPay, canTerminateWithRemain, createVatOnSystemInvoicePayment, feePercent, feeServiceIds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branchBuilding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branchId, buildingId, role, isActive,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branchBuildingCorporate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branchId, buildingId, bankCode, status, startSyncDate, createdAt, updatedAt, fetchDebitStatements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branchBuildingPaymentInfo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qpayCode, bankCode, roundDecimal, feeFormula, branchId, buildingId, createdAt, updatedAt, startInvoiceDate, depositBankCode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branchBuildingVatInfo</w:t>
      </w:r>
      <w:r>
        <w:rPr>
          <w:i/>
          <w:sz w:val="17"/>
        </w:rPr>
        <w:t xml:space="preserve">   (10 columns)</w:t>
      </w:r>
    </w:p>
    <w:p>
      <w:pPr>
        <w:ind w:left="240"/>
        <w:spacing w:after="120"/>
      </w:pPr>
      <w:r>
        <w:rPr>
          <w:sz w:val="17"/>
        </w:rPr>
        <w:t xml:space="preserve">id, branchId, buildingId, tin, districtCode, approved, taxType, serviceCode,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branchCorporate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branchId, bankCode, status, startSyncDate,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branchInvoice</w:t>
      </w:r>
      <w:r>
        <w:rPr>
          <w:i/>
          <w:sz w:val="17"/>
        </w:rPr>
        <w:t xml:space="preserve">   (19 columns)</w:t>
      </w:r>
    </w:p>
    <w:p>
      <w:pPr>
        <w:ind w:left="240"/>
        <w:spacing w:after="120"/>
      </w:pPr>
      <w:r>
        <w:rPr>
          <w:sz w:val="17"/>
        </w:rPr>
        <w:t xml:space="preserve">id, branchId, walletId, invoiceNo, periodMonth, issueDate, dueDate, baseAmount, feeRate, totalAmount, paidAmount, balance, status, autoPaid, autoPaidAt, lastPaidAt, meta,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branchInvoiceHistory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branchInvoiceId, branchId, workerId, action, snapshot, prevSnapshot, createdAt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branchPaymentInfo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qpayCode, bankCode, createdAt, updatedAt, branchId, roundDecimal, feeFormula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branchRegistration</w:t>
      </w:r>
      <w:r>
        <w:rPr>
          <w:i/>
          <w:sz w:val="17"/>
        </w:rPr>
        <w:t xml:space="preserve">   (10 columns)</w:t>
      </w:r>
    </w:p>
    <w:p>
      <w:pPr>
        <w:ind w:left="240"/>
        <w:spacing w:after="120"/>
      </w:pPr>
      <w:r>
        <w:rPr>
          <w:sz w:val="17"/>
        </w:rPr>
        <w:t xml:space="preserve">id, branchId, status, progressPercent, currentStep, activatedAt, activatedBy, metadata,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branchRegistrationStep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branchId, stepCode, status, completedAt, completedBy, metadata,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branchVatInfo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branchId, tin, districtCode, approved, taxType, serviceCode,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branchWallet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branchId, balance, currency, status, lastAutoChargeAt,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branchWalletTransaction</w:t>
      </w:r>
      <w:r>
        <w:rPr>
          <w:i/>
          <w:sz w:val="17"/>
        </w:rPr>
        <w:t xml:space="preserve">   (13 columns)</w:t>
      </w:r>
    </w:p>
    <w:p>
      <w:pPr>
        <w:ind w:left="240"/>
        <w:spacing w:after="120"/>
      </w:pPr>
      <w:r>
        <w:rPr>
          <w:sz w:val="17"/>
        </w:rPr>
        <w:t xml:space="preserve">id, walletId, branchId, type, source, referenceType, referenceId, amount, balanceAfter, meta, createdAt, updatedAt, vatId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branchWorkReport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branchId, startDate, endDate, files, createdBy,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building</w:t>
      </w:r>
      <w:r>
        <w:rPr>
          <w:i/>
          <w:sz w:val="17"/>
        </w:rPr>
        <w:t xml:space="preserve">   (16 columns)</w:t>
      </w:r>
    </w:p>
    <w:p>
      <w:pPr>
        <w:ind w:left="240"/>
        <w:spacing w:after="120"/>
      </w:pPr>
      <w:r>
        <w:rPr>
          <w:sz w:val="17"/>
        </w:rPr>
        <w:t xml:space="preserve">id, code, address, totalBlocks, totalFloors, totalArea, constructionYear, latitude, longitude, status, createdAt, updatedAt, branchId, contractDraftUrl, sealUrl, extendContractDraftUrl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capitalCategory</w:t>
      </w:r>
      <w:r>
        <w:rPr>
          <w:i/>
          <w:sz w:val="17"/>
        </w:rPr>
        <w:t xml:space="preserve">   (3 columns)</w:t>
      </w:r>
    </w:p>
    <w:p>
      <w:pPr>
        <w:ind w:left="240"/>
        <w:spacing w:after="120"/>
      </w:pPr>
      <w:r>
        <w:rPr>
          <w:sz w:val="17"/>
        </w:rPr>
        <w:t xml:space="preserve">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capitalDisposal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capitalId, disposalDate, method, salePrice, approvedBy,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capitalItem</w:t>
      </w:r>
      <w:r>
        <w:rPr>
          <w:i/>
          <w:sz w:val="17"/>
        </w:rPr>
        <w:t xml:space="preserve">   (14 columns)</w:t>
      </w:r>
    </w:p>
    <w:p>
      <w:pPr>
        <w:ind w:left="240"/>
        <w:spacing w:after="120"/>
      </w:pPr>
      <w:r>
        <w:rPr>
          <w:sz w:val="17"/>
        </w:rPr>
        <w:t xml:space="preserve">id, categoryId, branchId, code, purchaseDate, purchaseCost, quantity, condition, warrantyExpireDate, depreciationRate, createdBy, status,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capitalLocation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capitalId, branchId, buildingId, blockId, floorId, roomId, assignedTo, assignedDate,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capitalMaintenance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capitalId, maintenanceDate, maintenanceType, cost, performedBy,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contract</w:t>
      </w:r>
      <w:r>
        <w:rPr>
          <w:i/>
          <w:sz w:val="17"/>
        </w:rPr>
        <w:t xml:space="preserve">   (26 columns)</w:t>
      </w:r>
    </w:p>
    <w:p>
      <w:pPr>
        <w:ind w:left="240"/>
        <w:spacing w:after="120"/>
      </w:pPr>
      <w:r>
        <w:rPr>
          <w:sz w:val="17"/>
        </w:rPr>
        <w:t xml:space="preserve">id, contractNo, tenantId, branchId, startDate, endDate, rentPrice, depositAmount, depositBalance, paymentDueDay, lateFeeRate, status, workerId, contractFileUrl, createdAt, updatedAt, currency, buildingId, extensionHistory, contractType, counterpartyType, ownerId, invoiceRecipientType, invoiceRecipientOwnerId, invoiceRecipientRentalAgreementId, rentServicePackId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contractBalance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contract_id, balance, prevBalance, updated_at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contractBalanceHistory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contract_id, payment_id, delta, prevBalance, balance, created_at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contractDepositHistory</w:t>
      </w:r>
      <w:r>
        <w:rPr>
          <w:i/>
          <w:sz w:val="17"/>
        </w:rPr>
        <w:t xml:space="preserve">   (10 columns)</w:t>
      </w:r>
    </w:p>
    <w:p>
      <w:pPr>
        <w:ind w:left="240"/>
        <w:spacing w:after="120"/>
      </w:pPr>
      <w:r>
        <w:rPr>
          <w:sz w:val="17"/>
        </w:rPr>
        <w:t xml:space="preserve">id, contractId, contractDepositInvoiceId, paymentId, type, amount, balanceBefore, balanceAfter, workerId, createdAt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contractDepositInvoice</w:t>
      </w:r>
      <w:r>
        <w:rPr>
          <w:i/>
          <w:sz w:val="17"/>
        </w:rPr>
        <w:t xml:space="preserve">   (19 columns)</w:t>
      </w:r>
    </w:p>
    <w:p>
      <w:pPr>
        <w:ind w:left="240"/>
        <w:spacing w:after="120"/>
      </w:pPr>
      <w:r>
        <w:rPr>
          <w:sz w:val="17"/>
        </w:rPr>
        <w:t xml:space="preserve">id, contractId, branchId, tenantId, invoiceNo, amount, paidAmount, balance, status, issuedAt, dueDate, paidAt, paymentId, paymentMethod, createdBy, closedAt, closedBy,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contractHistory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contractId, workerId, changes,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contractRemainReason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contract_id, worker_id, created_at, updated_at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contractRoom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contractId, servicePackId, roomId, calculatedArea,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contractRoomService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contractRoomId, serviceId, price, quantity, formula, hasVat, lossDiff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email</w:t>
      </w:r>
      <w:r>
        <w:rPr>
          <w:i/>
          <w:sz w:val="17"/>
        </w:rPr>
        <w:t xml:space="preserve">   (12 columns)</w:t>
      </w:r>
    </w:p>
    <w:p>
      <w:pPr>
        <w:ind w:left="240"/>
        <w:spacing w:after="120"/>
      </w:pPr>
      <w:r>
        <w:rPr>
          <w:sz w:val="17"/>
        </w:rPr>
        <w:t xml:space="preserve">id, contractId, tenantId, ownerId, branchId, workerId, invoiceId, type, deliveryStatus, html,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floor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buildingId, blockId, code, level, area, totalRooms, planJson, status,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internalMilestone</w:t>
      </w:r>
      <w:r>
        <w:rPr>
          <w:i/>
          <w:sz w:val="17"/>
        </w:rPr>
        <w:t xml:space="preserve">   (14 columns)</w:t>
      </w:r>
    </w:p>
    <w:p>
      <w:pPr>
        <w:ind w:left="240"/>
        <w:spacing w:after="120"/>
      </w:pPr>
      <w:r>
        <w:rPr>
          <w:sz w:val="17"/>
        </w:rPr>
        <w:t xml:space="preserve">id, planId, dueDate, assignedWorkerIds, offsetDays, isActive, order, createdAt, updatedAt, recurrenceType, recurrenceInterval, recurrenceWeekdays, recurrenceMonthDay, recurrenceEndDate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internalPlan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branchId, startDate, endDate, isActive, createdBy,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internalWorkTask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milestoneId, workerId, offsetDays, taskId, createdAt, updatedAt, occurrenceDate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invoice</w:t>
      </w:r>
      <w:r>
        <w:rPr>
          <w:i/>
          <w:sz w:val="17"/>
        </w:rPr>
        <w:t xml:space="preserve">   (20 columns)</w:t>
      </w:r>
    </w:p>
    <w:p>
      <w:pPr>
        <w:ind w:left="240"/>
        <w:spacing w:after="120"/>
      </w:pPr>
      <w:r>
        <w:rPr>
          <w:sz w:val="17"/>
        </w:rPr>
        <w:t xml:space="preserve">id, invoiceNo, contractId, tenantId, branchId, invoiceMonth, issueDate, dueDate, expectedPayDate, totalAmount, paidAmount, balance, status, approvedBy, approvedAt, type, createdAt, updatedAt, payerType, ownerId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invoiceBucket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invoiceIds, totalAmount, branchId, contractId,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invoiceItem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invoiceId, roomId, contractRoomId, calculatedArea, amount,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invoiceItemService</w:t>
      </w:r>
      <w:r>
        <w:rPr>
          <w:i/>
          <w:sz w:val="17"/>
        </w:rPr>
        <w:t xml:space="preserve">   (16 columns)</w:t>
      </w:r>
    </w:p>
    <w:p>
      <w:pPr>
        <w:ind w:left="240"/>
        <w:spacing w:after="120"/>
      </w:pPr>
      <w:r>
        <w:rPr>
          <w:sz w:val="17"/>
        </w:rPr>
        <w:t xml:space="preserve">id, invoiceItemId, serviceId, unit, unitPrice, formula, prevQuantity, currentQuantity, quantity, amount, totalAmount, hasVat, vatAmount, createdAt, updatedAt, lossDiff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invoiceLateFee</w:t>
      </w:r>
      <w:r>
        <w:rPr>
          <w:i/>
          <w:sz w:val="17"/>
        </w:rPr>
        <w:t xml:space="preserve">   (10 columns)</w:t>
      </w:r>
    </w:p>
    <w:p>
      <w:pPr>
        <w:ind w:left="240"/>
        <w:spacing w:after="120"/>
      </w:pPr>
      <w:r>
        <w:rPr>
          <w:sz w:val="17"/>
        </w:rPr>
        <w:t xml:space="preserve">id, invoiceId, amount, lateFeeRate, calculatedAt, daysLate, status, createdAt, updatedAt, paidAmount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invoicePayment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invoiceId, paymentId, appliedAmount, createdAt, lateFeeId, lateFeeAmount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meter</w:t>
      </w:r>
      <w:r>
        <w:rPr>
          <w:i/>
          <w:sz w:val="17"/>
        </w:rPr>
        <w:t xml:space="preserve">   (45 columns)</w:t>
      </w:r>
    </w:p>
    <w:p>
      <w:pPr>
        <w:ind w:left="240"/>
        <w:spacing w:after="120"/>
      </w:pPr>
      <w:r>
        <w:rPr>
          <w:sz w:val="17"/>
        </w:rPr>
        <w:t xml:space="preserve">id, buildingId, blockId, floorId, roomId, serviceId, commodity, meterType, serialNo, manufacturer, model, firmwareVersion, unit, multiplier, readingDirection, installDate, calibrationDate, calibrationDueDate, reportIntervalMinutes, valveSupported, valveState, lastValveActionAt, networkType, rssi, snr, batteryLevel, devEui, appEui, devAddr, appKey, iccid, imsi, apn, status, lastReadingValue, lastReadingAt, extra, createdAt, updatedAt, branchId, contractRoomServiceId, externalProvider, externalPublicId, externalServiceId, externalSyncedAt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meterReading</w:t>
      </w:r>
      <w:r>
        <w:rPr>
          <w:i/>
          <w:sz w:val="17"/>
        </w:rPr>
        <w:t xml:space="preserve">   (14 columns)</w:t>
      </w:r>
    </w:p>
    <w:p>
      <w:pPr>
        <w:ind w:left="240"/>
        <w:spacing w:after="120"/>
      </w:pPr>
      <w:r>
        <w:rPr>
          <w:sz w:val="17"/>
        </w:rPr>
        <w:t xml:space="preserve">id, meterId, readingAt, value, delta, unit, quality, rawPayload, gatewayId, rssi, snr, batteryLevel, createdAt, invoiceMonth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onboardingRequest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status, attemptCount, expiresAt, verifiedAt, completedAt, branchId, workerId, meta,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owner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branchId, userId, type, address, contactPerson, ownershipType,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ownerHistory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ownerId, workerId, action, snapshot, prevSnapshot, createdAt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payment</w:t>
      </w:r>
      <w:r>
        <w:rPr>
          <w:i/>
          <w:sz w:val="17"/>
        </w:rPr>
        <w:t xml:space="preserve">   (17 columns)</w:t>
      </w:r>
    </w:p>
    <w:p>
      <w:pPr>
        <w:ind w:left="240"/>
        <w:spacing w:after="120"/>
      </w:pPr>
      <w:r>
        <w:rPr>
          <w:sz w:val="17"/>
        </w:rPr>
        <w:t xml:space="preserve">id, paymentDate, paidAmount, totalAmount, tenantId, ownerId, branchId, contractId, lateFeeAmount, depositUsedAmount, method, referenceNo, status, workerId, createdAt, updatedAt, deletedAt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paymentReverseHistory</w:t>
      </w:r>
      <w:r>
        <w:rPr>
          <w:i/>
          <w:sz w:val="17"/>
        </w:rPr>
        <w:t xml:space="preserve">   (16 columns)</w:t>
      </w:r>
    </w:p>
    <w:p>
      <w:pPr>
        <w:ind w:left="240"/>
        <w:spacing w:after="120"/>
      </w:pPr>
      <w:r>
        <w:rPr>
          <w:sz w:val="17"/>
        </w:rPr>
        <w:t xml:space="preserve">id, paymentId, branchId, buildingId, contractId, contractNo, tenantId, paymentDate, paidAmount, totalAmount, method, referenceNo, reversedBy, createdAt, updatedAt, reversalDetails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plan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branchId, ownerId, horizon, periodStart, periodEnd, status, progress, color,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planGoal</w:t>
      </w:r>
      <w:r>
        <w:rPr>
          <w:i/>
          <w:sz w:val="17"/>
        </w:rPr>
        <w:t xml:space="preserve">   (13 columns)</w:t>
      </w:r>
    </w:p>
    <w:p>
      <w:pPr>
        <w:ind w:left="240"/>
        <w:spacing w:after="120"/>
      </w:pPr>
      <w:r>
        <w:rPr>
          <w:sz w:val="17"/>
        </w:rPr>
        <w:t xml:space="preserve">id, planId, kpi, metricUnit, targetValue, currentValue, responsibleWorkerId, deadline, status, progress, displayOrder,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qpayHistory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invoiceBucketId, postData, qpayId, stage,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recurringInvoice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tenantId, contractId, frequency, intervalValue, startDate, nextRunDate, amount, status,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rentalAgreement</w:t>
      </w:r>
      <w:r>
        <w:rPr>
          <w:i/>
          <w:sz w:val="17"/>
        </w:rPr>
        <w:t xml:space="preserve">   (19 columns)</w:t>
      </w:r>
    </w:p>
    <w:p>
      <w:pPr>
        <w:ind w:left="240"/>
        <w:spacing w:after="120"/>
      </w:pPr>
      <w:r>
        <w:rPr>
          <w:sz w:val="17"/>
        </w:rPr>
        <w:t xml:space="preserve">id, branchId, roomId, managementContractId, ownerId, tenantId, agreementNo, startDate, endDate, rentAmount, depositAmount, paymentDueDay, status, contractFileUrl, createdBy, terminatedAt, terminatedBy,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room</w:t>
      </w:r>
      <w:r>
        <w:rPr>
          <w:i/>
          <w:sz w:val="17"/>
        </w:rPr>
        <w:t xml:space="preserve">   (18 columns)</w:t>
      </w:r>
    </w:p>
    <w:p>
      <w:pPr>
        <w:ind w:left="240"/>
        <w:spacing w:after="120"/>
      </w:pPr>
      <w:r>
        <w:rPr>
          <w:sz w:val="17"/>
        </w:rPr>
        <w:t xml:space="preserve">id, buildingId, blockId, floorId, code, doorNo, area, type, usageStatus, tenantId, contractId, hasMeter, status, ownerId, createdAt, updatedAt, height, volume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roomBooking</w:t>
      </w:r>
      <w:r>
        <w:rPr>
          <w:i/>
          <w:sz w:val="17"/>
        </w:rPr>
        <w:t xml:space="preserve">   (22 columns)</w:t>
      </w:r>
    </w:p>
    <w:p>
      <w:pPr>
        <w:ind w:left="240"/>
        <w:spacing w:after="120"/>
      </w:pPr>
      <w:r>
        <w:rPr>
          <w:sz w:val="17"/>
        </w:rPr>
        <w:t xml:space="preserve">id, branchId, buildingId, blockId, floorId, roomId, tenantId, startTime, endTime, status, purpose, createdByWorkerId, source, createdAt, updatedAt, bookerRole, hourlyPrice, totalPrice, cancelledAt, cancelledByWorkerId, confirmedByWorkerId, confirmedAt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roomBookingSetting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roomId, branchId, enabled, capacity, hourlyPrice, openTime, closeTime,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roomHistory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roomId, actionType, relatedRoomIds, performedBy, dataBefore, dataAfter, createdAt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roomType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code, color, order, status,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service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unit, order, defaultPrice, isMetered, createdAt, updatedAt, contractType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servicePack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branchId, isActive, createdAt, updatedAt, contractType, buildingId, rentPrice, depositAmount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servicePackItem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servicePackId, serviceId, price, quantity, hasVat, formula, order, lossDiff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servicePackSyncTask</w:t>
      </w:r>
      <w:r>
        <w:rPr>
          <w:i/>
          <w:sz w:val="17"/>
        </w:rPr>
        <w:t xml:space="preserve">   (15 columns)</w:t>
      </w:r>
    </w:p>
    <w:p>
      <w:pPr>
        <w:ind w:left="240"/>
        <w:spacing w:after="120"/>
      </w:pPr>
      <w:r>
        <w:rPr>
          <w:sz w:val="17"/>
        </w:rPr>
        <w:t xml:space="preserve">id, servicePackId, branchId, workerId, status, items, contractIds, failedContractIds, cursor, total, completed, failed, lastError,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task</w:t>
      </w:r>
      <w:r>
        <w:rPr>
          <w:i/>
          <w:sz w:val="17"/>
        </w:rPr>
        <w:t xml:space="preserve">   (13 columns)</w:t>
      </w:r>
    </w:p>
    <w:p>
      <w:pPr>
        <w:ind w:left="240"/>
        <w:spacing w:after="120"/>
      </w:pPr>
      <w:r>
        <w:rPr>
          <w:sz w:val="17"/>
        </w:rPr>
        <w:t xml:space="preserve">id, branchId, tenantId, createdByWorkerId, assignedWorkerId, category, priority, status, attachments, meta, resolvedAt,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taskActivity</w:t>
      </w:r>
      <w:r>
        <w:rPr>
          <w:i/>
          <w:sz w:val="17"/>
        </w:rPr>
        <w:t xml:space="preserve">   (10 columns)</w:t>
      </w:r>
    </w:p>
    <w:p>
      <w:pPr>
        <w:ind w:left="240"/>
        <w:spacing w:after="120"/>
      </w:pPr>
      <w:r>
        <w:rPr>
          <w:sz w:val="17"/>
        </w:rPr>
        <w:t xml:space="preserve">id, taskId, workerId, activityType, attachments, fromStatus, toStatus, meta,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tenant</w:t>
      </w:r>
      <w:r>
        <w:rPr>
          <w:i/>
          <w:sz w:val="17"/>
        </w:rPr>
        <w:t xml:space="preserve">   (10 columns)</w:t>
      </w:r>
    </w:p>
    <w:p>
      <w:pPr>
        <w:ind w:left="240"/>
        <w:spacing w:after="120"/>
      </w:pPr>
      <w:r>
        <w:rPr>
          <w:sz w:val="17"/>
        </w:rPr>
        <w:t xml:space="preserve">id, userId, branchId, code, type, address, contactPerson, status,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tenantBalance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tenant_id, balance, prevBalance, updated_at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tenantBalanceHistory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tenant_id, payment_id, delta, prevBalance, balance, created_at, invoiceId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tenantHistory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tenantId, workerId, action, snapshot, prevSnapshot, createdAt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tenantMember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tenantId, userId, role, position, accessLevel, joinDate, leaveDate, isActive,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vat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branchId, paymentId, requestJSON, qrJSON, status, createdAt, updatedAt, invoiceId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worker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branchId, role, position, isActive, lastLoginAt, createdAt, updatedAt, buildingId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workerAction</w:t>
      </w:r>
      <w:r>
        <w:rPr>
          <w:i/>
          <w:sz w:val="17"/>
        </w:rPr>
        <w:t xml:space="preserve">   (3 columns)</w:t>
      </w:r>
    </w:p>
    <w:p>
      <w:pPr>
        <w:ind w:left="240"/>
        <w:spacing w:after="120"/>
      </w:pPr>
      <w:r>
        <w:rPr>
          <w:sz w:val="17"/>
        </w:rPr>
        <w:t xml:space="preserve">id, workerId, actionId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workerBuilding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workerId, buildingId,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workerLog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workerId, updatedBy, branchId, changes, createdAt, updatedAt</w:t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7. Currently loaded for review (4)</w:t>
      </w:r>
    </w:p>
    <w:p>
      <w:pPr>
        <w:spacing w:after="140"/>
      </w:pPr>
      <w:r>
        <w:rPr>
          <w:sz w:val="20"/>
        </w:rPr>
        <w:t xml:space="preserve">Loaded under a temporary review purpose reference, not an approved one. This subset was chosen to contain no personal data, so it can be shown and checked safely.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roomType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service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capitalCategory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servicePack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32"/>
      <w:color w:val="1F3864"/>
    </w:rPr>
  </w:style>
  <w:style w:type="paragraph" w:styleId="Heading2">
    <w:name w:val="heading 2"/>
    <w:basedOn w:val="Normal"/>
    <w:pPr>
      <w:outlineLvl w:val="1"/>
      <w:keepNext/>
    </w:pPr>
    <w:rPr>
      <w:b/>
      <w:sz w:val="26"/>
      <w:color w:val="2E549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