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smartpay — data copy review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data-officer review</w:t>
      </w:r>
    </w:p>
    <w:p>
      <w:pPr>
        <w:spacing w:after="200"/>
      </w:pPr>
      <w:r>
        <w:rPr>
          <w:sz w:val="20"/>
        </w:rPr>
        <w:t xml:space="preserve">This document records which tables and columns the analytics platform proposes to copy from smartpay_db, and which it refuses. Filtering works by omission: a column that is not listed is never copied. Nothing here is approved until a purpose reference is assigned to every row and the control table is signed.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5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system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smartpay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smartpay_db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Engine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PostgreSQL 16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proposed for copying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excluded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Accounted for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 of 37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Currently loaded into the lake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 (review subset only)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Rows with a purpose reference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of 32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REJECTED — 32 × CT013 (no purpose assigned)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Outstanding decisions</w:t>
      </w:r>
    </w:p>
    <w:p>
      <w:pPr>
        <w:ind w:left="360"/>
        <w:spacing w:after="100"/>
      </w:pPr>
      <w:r>
        <w:rPr>
          <w:sz w:val="20"/>
        </w:rPr>
        <w:t xml:space="preserve">—  Assign a purpose reference to all 32 rows. Currently 0 are set, so the platform refuses to load anything from this system.</w:t>
      </w:r>
    </w:p>
    <w:p>
      <w:pPr>
        <w:ind w:left="360"/>
        <w:spacing w:after="100"/>
      </w:pPr>
      <w:r>
        <w:rPr>
          <w:sz w:val="20"/>
        </w:rPr>
        <w:t xml:space="preserve">—  Confirm the target layer per table. Every row is set to bronze, which is deleted within 24 hours. Promotion to bronze-ref, retained longer, suits only tables with no personal data — including none reachable through a foreign key.</w:t>
      </w:r>
    </w:p>
    <w:p>
      <w:pPr>
        <w:ind w:left="360"/>
        <w:spacing w:after="100"/>
      </w:pPr>
      <w:r>
        <w:rPr>
          <w:sz w:val="20"/>
        </w:rPr>
        <w:t xml:space="preserve">—  Review section 6. The filter deliberately over-detects, so a harmless label such as a service-category name is blocked alongside a genuine person name. Each false positive is cleared in the exceptions file with a written justification and an approver name.</w:t>
      </w:r>
    </w:p>
    <w:p>
      <w:pPr>
        <w:pStyle w:val="Heading2"/>
        <w:spacing w:after="160"/>
      </w:pPr>
      <w:r>
        <w:rPr>
          <w:b/>
          <w:sz w:val="26"/>
        </w:rPr>
        <w:t xml:space="preserve">3. How the filter decides</w:t>
      </w:r>
    </w:p>
    <w:p>
      <w:pPr>
        <w:spacing w:after="140"/>
      </w:pPr>
      <w:r>
        <w:rPr>
          <w:sz w:val="20"/>
        </w:rPr>
        <w:t xml:space="preserve">Every column and table name is checked against the rules below. The rules deliberately over-detect: a false positive costs one review, a false negative copies personal data. Cleared exceptions are recorded with a written justification and an approver name.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2100"/>
        <w:gridCol w:w="515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Effect</w:t>
            </w:r>
          </w:p>
        </w:tc>
        <w:tc>
          <w:tcPr>
            <w:tcW w:w="5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What it catches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CT013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blocks the row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purpose reference. Nothing may be copied without a lawful purpose recorded in the purpose register.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CT014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tables — forum, chat, message, comment, complaint, poll, news, notification, helpdesk. The content is the payload, so the whole table is excluded, not filtered.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CT015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Names, surnames, phone numbers, emails, registration and passport numbers, and photographs of people (image, avatar, photo, picture). Dropped outright — never tokenised.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Free text — note, comment, remark, description, message, body, content, reason, answer, title, subject. Free text can contain anything, including personal data.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CT018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Stored secrets — password, PIN, API token, hash, bank account number, account holder, and verification codes (validateCode, verificationCode). Secrets have no analytical value.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CT019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stores — tables whose purpose is holding a secret (OTP, token, password reset, user PIN). Excluded whatever the columns are called, because the secret is often in a column merely named "code".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CT106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warns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Personal attributes needing banding before gold — gender, birth date, latitude, longitude. Permitted in bronze so silver can transform them (birth date to age band, coordinates to location group).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spacing w:after="120"/>
      </w:pPr>
      <w:r>
        <w:rPr>
          <w:sz w:val="20"/>
        </w:rPr>
        <w:t xml:space="preserve">Filtering works by omission. A column is excluded simply by not appearing in the allowed list — there is no masking step to configure and nothing to forget. A wildcard is refused outright, so a new column added by an application update cannot flow through until it is approved.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4. Tables proposed for copying (32)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1050"/>
        <w:gridCol w:w="1300"/>
        <w:gridCol w:w="1150"/>
        <w:gridCol w:w="1350"/>
        <w:gridCol w:w="80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Cols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aiFunctionCall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bankTransactionLog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faq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incomeTransaction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invoiceItem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invoiceItemVatInfo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merchantBillings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merchantInvoiceCountDetails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merchantInvoiceItems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merchantInvoices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merchantPermission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merchantSettle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negdiHistory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negdiJoinCardHistory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paymentMethod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permission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productType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sbIncome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sbIncomeByMerchant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settle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transaction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transactionBucket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vatMerchant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vatMerchantPos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5. Tables excluded (5)</w:t>
      </w:r>
    </w:p>
    <w:p>
      <w:pPr>
        <w:spacing w:after="140"/>
      </w:pPr>
      <w:r>
        <w:rPr>
          <w:sz w:val="20"/>
        </w:rPr>
        <w:t xml:space="preserve">These are not copied at all. Correspondence tables are excluded whole rather than column-filtered, because the sensitive content is the payload itself.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565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is not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passwordResetToken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['passwordreset', 'token'])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ticket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['ticket']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ticketComment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'ticket']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token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['token'])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userPin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['userpin']) - exists to hold secrets; no analytical value, never copied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6. Allowed columns, per table</w:t>
      </w:r>
    </w:p>
    <w:p>
      <w:pPr>
        <w:spacing w:after="160"/>
      </w:pPr>
      <w:r>
        <w:rPr>
          <w:sz w:val="20"/>
        </w:rPr>
        <w:t xml:space="preserve">Every column the platform would copy. Anything absent from these lists stays in the source database. Please strike out anything that should not be copied.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admin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aiFunctionCall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bankTransactionLog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trnDate, relatedAccount, journalNo, recordId, createdAt, updatedAt, amount, remain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card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userId, brand, expdate, maskedpan, status, color, createdAt, updatedAt, approved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faq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type, createdAt, updatedAt, aiFunctionCallId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incomeTransaction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merchantId, bankCode, merchantSettleId, status, settledAt, journalNo, amount, createdAt, updatedAt, fee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userId, merchantId, returnUrl, successCallback, callBackResponse, amount, status, productPaymentType, secureId, feeAmount, totalAmount, invoiceItemCount, createdAt, updatedAt, paymentMethodId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invoiceItem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amount, status, successCallback, bankCode, callBackResponse, invoiceId, productTypeId, vatInfoId, transactionId, data,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invoiceItemVatInfo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type, qrJson, status, createdAt, updatedAt, requestData, time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log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merchantId, ip, data,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address, productTypeId, feePercent, spayFeePercent, bankCode, createdAt, updatedAt, userFee, userFeeType, iconPath, slogan, pack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merchantBillings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merchantId, billFeeType, billFee,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merchantInvoiceCountDetails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count, createdAt, updatedAt, merchantInvoiceId, rate, total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merchantInvoiceItems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quantity, rate, amount, merchantInvoiceId,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merchantInvoices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dueDate, total, paid, status, merchantId, createdAt, updatedAt, paidJournalNo, paidDate, validUntil, vatLogId, amount, vatAmount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merchantPermission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merchantId, permissionId,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merchantSettle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merchantId, amount, count, spayFeePercent, status, settledAt, createdAt, updatedAt, settledType, subMerchantAmount, merchantAmount, xpayAmount, processingAmount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negdiHistory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invoiceId, checkid, tranid, status, settleId, paymentType,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negdiJoinCardHistory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userId, checkid, tranid, status, cancelStatus, cancelApprovalCode, amount,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paymentMethod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permission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pos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supplier, mark, status, createdAt, updatedAt, vatMerchantId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productType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paymentType, createdAt, updatedAt, settleType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qpayHistory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invoiceId, qpayId, callBackUrl, status, checked, createdAt, updatedAt, qpayType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sbIncome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date, total, commission, merchantFee, billingSubs,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sbIncomeByMerchant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merchantId, date, total, commission, merchantFee, billingSubs, createdAt, updatedAt, sbIncomeId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settle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type, recordId, amount, rawJson, extracted,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transaction</w:t>
      </w:r>
      <w:r>
        <w:rPr>
          <w:i/>
          <w:sz w:val="17"/>
        </w:rPr>
        <w:t xml:space="preserve">   (20 columns)</w:t>
      </w:r>
    </w:p>
    <w:p>
      <w:pPr>
        <w:ind w:left="240"/>
        <w:spacing w:after="120"/>
      </w:pPr>
      <w:r>
        <w:rPr>
          <w:sz w:val="17"/>
        </w:rPr>
        <w:t xml:space="preserve">id, invoiceItemId, bankCode, status, settledAt, journalNo, settleType, amount, merchantFee, spayFee, merchantSettleId, createdAt, updatedAt, merchantFeePercent, xpayFee, xpayFeePercent, afterFeeAmount, processingFee, processingFeePercent, 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transactionBucket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transactionIds, createdAt, updatedAt, totalAmount, totalCount, bankCode, merchantId, status, totalFee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vatLog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merchantId, ip, qrJson, requestData, status, createdAt, updatedAt, time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vatMerchant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createrMerchantId, serviceCode, vatDistrictCode, taxType, merchantTin, taxProductCode, approved, status, createdAt, updatedAt, feePercent, bankCode, individual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vatMerchantPos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posId, vatMerchantId, createdAt, updatedAt, poId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7. Currently loaded for review (6)</w:t>
      </w:r>
    </w:p>
    <w:p>
      <w:pPr>
        <w:spacing w:after="140"/>
      </w:pPr>
      <w:r>
        <w:rPr>
          <w:sz w:val="20"/>
        </w:rPr>
        <w:t xml:space="preserve">Loaded under a temporary review purpose reference, not an approved one. This subset was chosen to contain no personal data, so it can be shown and checked safely.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paymentMethod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productType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permission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merchantPermission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pos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sbIncome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color w:val="1F3864"/>
    </w:rPr>
  </w:style>
  <w:style w:type="paragraph" w:styleId="Heading2">
    <w:name w:val="heading 2"/>
    <w:basedOn w:val="Normal"/>
    <w:pPr>
      <w:outlineLvl w:val="1"/>
      <w:keepNext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