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24"/>
          <w:szCs w:val="24"/>
        </w:rPr>
      </w:pPr>
      <w:bookmarkStart w:colFirst="0" w:colLast="0" w:name="_vltuy1tyxdtb" w:id="0"/>
      <w:bookmarkEnd w:id="0"/>
      <w:r w:rsidDel="00000000" w:rsidR="00000000" w:rsidRPr="00000000">
        <w:rPr>
          <w:b w:val="1"/>
          <w:sz w:val="24"/>
          <w:szCs w:val="24"/>
          <w:rtl w:val="0"/>
        </w:rPr>
        <w:t xml:space="preserve">Aerospace Manufacturing Sector - Default Study Summary</w:t>
      </w:r>
    </w:p>
    <w:p w:rsidR="00000000" w:rsidDel="00000000" w:rsidP="00000000" w:rsidRDefault="00000000" w:rsidRPr="00000000" w14:paraId="00000002">
      <w:pPr>
        <w:spacing w:after="240" w:before="240" w:lineRule="auto"/>
        <w:rPr>
          <w:b w:val="1"/>
          <w:sz w:val="24"/>
          <w:szCs w:val="24"/>
        </w:rPr>
      </w:pPr>
      <w:r w:rsidDel="00000000" w:rsidR="00000000" w:rsidRPr="00000000">
        <w:rPr>
          <w:b w:val="1"/>
          <w:sz w:val="24"/>
          <w:szCs w:val="24"/>
          <w:rtl w:val="0"/>
        </w:rPr>
        <w:t xml:space="preserve">Sovereign Risk Analytics | November 2024 | Study Period: 2014-2024</w:t>
      </w:r>
    </w:p>
    <w:p w:rsidR="00000000" w:rsidDel="00000000" w:rsidP="00000000" w:rsidRDefault="00000000" w:rsidRPr="00000000" w14:paraId="00000003">
      <w:pPr>
        <w:pStyle w:val="Heading2"/>
        <w:keepNext w:val="0"/>
        <w:keepLines w:val="0"/>
        <w:spacing w:after="80" w:lineRule="auto"/>
        <w:rPr>
          <w:b w:val="1"/>
          <w:sz w:val="24"/>
          <w:szCs w:val="24"/>
        </w:rPr>
      </w:pPr>
      <w:bookmarkStart w:colFirst="0" w:colLast="0" w:name="_pup72e7gltf5" w:id="1"/>
      <w:bookmarkEnd w:id="1"/>
      <w:r w:rsidDel="00000000" w:rsidR="00000000" w:rsidRPr="00000000">
        <w:rPr>
          <w:b w:val="1"/>
          <w:sz w:val="24"/>
          <w:szCs w:val="24"/>
          <w:rtl w:val="0"/>
        </w:rPr>
        <w:t xml:space="preserve">Executive Summary</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Analysis of 267 aerospace manufacturing companies reveals sector-specific default patterns and risk factors critical for credit evaluation. The aerospace sector showed significant COVID-19 stress but demonstrated resilience in recovery, with default rates now below historical averages for companies with diversified commercial/defense exposure.</w:t>
      </w:r>
    </w:p>
    <w:p w:rsidR="00000000" w:rsidDel="00000000" w:rsidP="00000000" w:rsidRDefault="00000000" w:rsidRPr="00000000" w14:paraId="00000005">
      <w:pPr>
        <w:pStyle w:val="Heading2"/>
        <w:keepNext w:val="0"/>
        <w:keepLines w:val="0"/>
        <w:spacing w:after="80" w:lineRule="auto"/>
        <w:rPr>
          <w:b w:val="1"/>
          <w:sz w:val="24"/>
          <w:szCs w:val="24"/>
        </w:rPr>
      </w:pPr>
      <w:bookmarkStart w:colFirst="0" w:colLast="0" w:name="_vkx3slod7cwv" w:id="2"/>
      <w:bookmarkEnd w:id="2"/>
      <w:r w:rsidDel="00000000" w:rsidR="00000000" w:rsidRPr="00000000">
        <w:rPr>
          <w:b w:val="1"/>
          <w:sz w:val="24"/>
          <w:szCs w:val="24"/>
          <w:rtl w:val="0"/>
        </w:rPr>
        <w:t xml:space="preserve">Default Rate Analysis</w:t>
      </w:r>
    </w:p>
    <w:p w:rsidR="00000000" w:rsidDel="00000000" w:rsidP="00000000" w:rsidRDefault="00000000" w:rsidRPr="00000000" w14:paraId="00000006">
      <w:pPr>
        <w:pStyle w:val="Heading3"/>
        <w:keepNext w:val="0"/>
        <w:keepLines w:val="0"/>
        <w:spacing w:before="280" w:lineRule="auto"/>
        <w:rPr>
          <w:b w:val="1"/>
          <w:color w:val="000000"/>
          <w:sz w:val="24"/>
          <w:szCs w:val="24"/>
        </w:rPr>
      </w:pPr>
      <w:bookmarkStart w:colFirst="0" w:colLast="0" w:name="_kbn8hzepjz8x" w:id="3"/>
      <w:bookmarkEnd w:id="3"/>
      <w:r w:rsidDel="00000000" w:rsidR="00000000" w:rsidRPr="00000000">
        <w:rPr>
          <w:b w:val="1"/>
          <w:color w:val="000000"/>
          <w:sz w:val="24"/>
          <w:szCs w:val="24"/>
          <w:rtl w:val="0"/>
        </w:rPr>
        <w:t xml:space="preserve">10-Year Cumulative Default Rates by Rating</w:t>
      </w:r>
    </w:p>
    <w:tbl>
      <w:tblPr>
        <w:tblStyle w:val="Table1"/>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3.75"/>
        <w:gridCol w:w="2373.75"/>
        <w:gridCol w:w="2373.75"/>
        <w:gridCol w:w="2373.75"/>
        <w:tblGridChange w:id="0">
          <w:tblGrid>
            <w:gridCol w:w="2373.75"/>
            <w:gridCol w:w="2373.75"/>
            <w:gridCol w:w="2373.75"/>
            <w:gridCol w:w="237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7">
            <w:pPr>
              <w:spacing w:after="240" w:before="240" w:lineRule="auto"/>
              <w:jc w:val="center"/>
              <w:rPr>
                <w:sz w:val="24"/>
                <w:szCs w:val="24"/>
              </w:rPr>
            </w:pPr>
            <w:r w:rsidDel="00000000" w:rsidR="00000000" w:rsidRPr="00000000">
              <w:rPr>
                <w:b w:val="1"/>
                <w:sz w:val="24"/>
                <w:szCs w:val="24"/>
                <w:rtl w:val="0"/>
              </w:rPr>
              <w:t xml:space="preserve">Rating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8">
            <w:pPr>
              <w:spacing w:after="240" w:before="240" w:lineRule="auto"/>
              <w:jc w:val="center"/>
              <w:rPr>
                <w:sz w:val="24"/>
                <w:szCs w:val="24"/>
              </w:rPr>
            </w:pPr>
            <w:r w:rsidDel="00000000" w:rsidR="00000000" w:rsidRPr="00000000">
              <w:rPr>
                <w:b w:val="1"/>
                <w:sz w:val="24"/>
                <w:szCs w:val="24"/>
                <w:rtl w:val="0"/>
              </w:rPr>
              <w:t xml:space="preserve">Aerospace Mfg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9">
            <w:pPr>
              <w:spacing w:after="240" w:before="240" w:lineRule="auto"/>
              <w:jc w:val="center"/>
              <w:rPr>
                <w:sz w:val="24"/>
                <w:szCs w:val="24"/>
              </w:rPr>
            </w:pPr>
            <w:r w:rsidDel="00000000" w:rsidR="00000000" w:rsidRPr="00000000">
              <w:rPr>
                <w:b w:val="1"/>
                <w:sz w:val="24"/>
                <w:szCs w:val="24"/>
                <w:rtl w:val="0"/>
              </w:rPr>
              <w:t xml:space="preserve">All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A">
            <w:pPr>
              <w:spacing w:after="240" w:before="240" w:lineRule="auto"/>
              <w:jc w:val="center"/>
              <w:rPr>
                <w:sz w:val="24"/>
                <w:szCs w:val="24"/>
              </w:rPr>
            </w:pPr>
            <w:r w:rsidDel="00000000" w:rsidR="00000000" w:rsidRPr="00000000">
              <w:rPr>
                <w:b w:val="1"/>
                <w:sz w:val="24"/>
                <w:szCs w:val="24"/>
                <w:rtl w:val="0"/>
              </w:rPr>
              <w:t xml:space="preserve">All Industries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BBB and above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3.4%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2.8%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3.1%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BB</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8.9%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12.1%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13.7%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B</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24.6%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28.9%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31.2%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CCC and below</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58.8%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61.3%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64.1%</w:t>
            </w:r>
          </w:p>
        </w:tc>
      </w:tr>
    </w:tbl>
    <w:p w:rsidR="00000000" w:rsidDel="00000000" w:rsidP="00000000" w:rsidRDefault="00000000" w:rsidRPr="00000000" w14:paraId="0000001B">
      <w:pPr>
        <w:spacing w:after="240" w:before="240" w:lineRule="auto"/>
        <w:rPr>
          <w:sz w:val="24"/>
          <w:szCs w:val="24"/>
        </w:rPr>
      </w:pPr>
      <w:r w:rsidDel="00000000" w:rsidR="00000000" w:rsidRPr="00000000">
        <w:rPr>
          <w:b w:val="1"/>
          <w:sz w:val="24"/>
          <w:szCs w:val="24"/>
          <w:rtl w:val="0"/>
        </w:rPr>
        <w:t xml:space="preserve">Key Finding:</w:t>
      </w:r>
      <w:r w:rsidDel="00000000" w:rsidR="00000000" w:rsidRPr="00000000">
        <w:rPr>
          <w:sz w:val="24"/>
          <w:szCs w:val="24"/>
          <w:rtl w:val="0"/>
        </w:rPr>
        <w:t xml:space="preserve"> Aerospace BB-rated companies outperformed broader manufacturing, particularly during recovery periods due to defense exposure and government support programs.</w:t>
      </w:r>
    </w:p>
    <w:p w:rsidR="00000000" w:rsidDel="00000000" w:rsidP="00000000" w:rsidRDefault="00000000" w:rsidRPr="00000000" w14:paraId="0000001C">
      <w:pPr>
        <w:pStyle w:val="Heading3"/>
        <w:keepNext w:val="0"/>
        <w:keepLines w:val="0"/>
        <w:spacing w:before="280" w:lineRule="auto"/>
        <w:rPr>
          <w:b w:val="1"/>
          <w:color w:val="000000"/>
          <w:sz w:val="24"/>
          <w:szCs w:val="24"/>
        </w:rPr>
      </w:pPr>
      <w:bookmarkStart w:colFirst="0" w:colLast="0" w:name="_4v19z6rb8d0k" w:id="4"/>
      <w:bookmarkEnd w:id="4"/>
      <w:r w:rsidDel="00000000" w:rsidR="00000000" w:rsidRPr="00000000">
        <w:rPr>
          <w:b w:val="1"/>
          <w:color w:val="000000"/>
          <w:sz w:val="24"/>
          <w:szCs w:val="24"/>
          <w:rtl w:val="0"/>
        </w:rPr>
        <w:t xml:space="preserve">Temporal Default Patterns</w:t>
      </w:r>
    </w:p>
    <w:p w:rsidR="00000000" w:rsidDel="00000000" w:rsidP="00000000" w:rsidRDefault="00000000" w:rsidRPr="00000000" w14:paraId="0000001D">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2014-2016 (Growth):</w:t>
      </w:r>
      <w:r w:rsidDel="00000000" w:rsidR="00000000" w:rsidRPr="00000000">
        <w:rPr>
          <w:sz w:val="24"/>
          <w:szCs w:val="24"/>
          <w:rtl w:val="0"/>
        </w:rPr>
        <w:t xml:space="preserve"> 2.1% annual average - benign environment</w:t>
      </w:r>
    </w:p>
    <w:p w:rsidR="00000000" w:rsidDel="00000000" w:rsidP="00000000" w:rsidRDefault="00000000" w:rsidRPr="00000000" w14:paraId="0000001E">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2017-2019 (Peak):</w:t>
      </w:r>
      <w:r w:rsidDel="00000000" w:rsidR="00000000" w:rsidRPr="00000000">
        <w:rPr>
          <w:sz w:val="24"/>
          <w:szCs w:val="24"/>
          <w:rtl w:val="0"/>
        </w:rPr>
        <w:t xml:space="preserve"> 1.8% annual average - record deliveries, minimal defaults</w:t>
      </w:r>
    </w:p>
    <w:p w:rsidR="00000000" w:rsidDel="00000000" w:rsidP="00000000" w:rsidRDefault="00000000" w:rsidRPr="00000000" w14:paraId="0000001F">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2020-2021 (COVID Crisis):</w:t>
      </w:r>
      <w:r w:rsidDel="00000000" w:rsidR="00000000" w:rsidRPr="00000000">
        <w:rPr>
          <w:sz w:val="24"/>
          <w:szCs w:val="24"/>
          <w:rtl w:val="0"/>
        </w:rPr>
        <w:t xml:space="preserve"> 6.4% annual average - sector-wide stress</w:t>
      </w:r>
    </w:p>
    <w:p w:rsidR="00000000" w:rsidDel="00000000" w:rsidP="00000000" w:rsidRDefault="00000000" w:rsidRPr="00000000" w14:paraId="00000020">
      <w:pPr>
        <w:numPr>
          <w:ilvl w:val="0"/>
          <w:numId w:val="7"/>
        </w:numPr>
        <w:spacing w:after="240" w:before="0" w:beforeAutospacing="0" w:lineRule="auto"/>
        <w:ind w:left="720" w:hanging="360"/>
        <w:rPr>
          <w:sz w:val="24"/>
          <w:szCs w:val="24"/>
        </w:rPr>
      </w:pPr>
      <w:r w:rsidDel="00000000" w:rsidR="00000000" w:rsidRPr="00000000">
        <w:rPr>
          <w:b w:val="1"/>
          <w:sz w:val="24"/>
          <w:szCs w:val="24"/>
          <w:rtl w:val="0"/>
        </w:rPr>
        <w:t xml:space="preserve">2022-2024 (Recovery):</w:t>
      </w:r>
      <w:r w:rsidDel="00000000" w:rsidR="00000000" w:rsidRPr="00000000">
        <w:rPr>
          <w:sz w:val="24"/>
          <w:szCs w:val="24"/>
          <w:rtl w:val="0"/>
        </w:rPr>
        <w:t xml:space="preserve"> 2.7% annual average - normalizing conditions</w:t>
      </w:r>
    </w:p>
    <w:p w:rsidR="00000000" w:rsidDel="00000000" w:rsidP="00000000" w:rsidRDefault="00000000" w:rsidRPr="00000000" w14:paraId="00000021">
      <w:pPr>
        <w:pStyle w:val="Heading2"/>
        <w:keepNext w:val="0"/>
        <w:keepLines w:val="0"/>
        <w:spacing w:after="80" w:lineRule="auto"/>
        <w:rPr>
          <w:b w:val="1"/>
          <w:sz w:val="24"/>
          <w:szCs w:val="24"/>
        </w:rPr>
      </w:pPr>
      <w:bookmarkStart w:colFirst="0" w:colLast="0" w:name="_lvufwist08zx" w:id="5"/>
      <w:bookmarkEnd w:id="5"/>
      <w:r w:rsidDel="00000000" w:rsidR="00000000" w:rsidRPr="00000000">
        <w:rPr>
          <w:b w:val="1"/>
          <w:sz w:val="24"/>
          <w:szCs w:val="24"/>
          <w:rtl w:val="0"/>
        </w:rPr>
        <w:t xml:space="preserve">Subsector Performance Analysis</w:t>
      </w:r>
    </w:p>
    <w:p w:rsidR="00000000" w:rsidDel="00000000" w:rsidP="00000000" w:rsidRDefault="00000000" w:rsidRPr="00000000" w14:paraId="00000022">
      <w:pPr>
        <w:pStyle w:val="Heading3"/>
        <w:keepNext w:val="0"/>
        <w:keepLines w:val="0"/>
        <w:spacing w:before="280" w:lineRule="auto"/>
        <w:rPr>
          <w:b w:val="1"/>
          <w:color w:val="000000"/>
          <w:sz w:val="24"/>
          <w:szCs w:val="24"/>
        </w:rPr>
      </w:pPr>
      <w:bookmarkStart w:colFirst="0" w:colLast="0" w:name="_k51zoawjji72" w:id="6"/>
      <w:bookmarkEnd w:id="6"/>
      <w:r w:rsidDel="00000000" w:rsidR="00000000" w:rsidRPr="00000000">
        <w:rPr>
          <w:b w:val="1"/>
          <w:color w:val="000000"/>
          <w:sz w:val="24"/>
          <w:szCs w:val="24"/>
          <w:rtl w:val="0"/>
        </w:rPr>
        <w:t xml:space="preserve">Engine Components Suppliers (AeroTech's Primary Segment)</w:t>
      </w:r>
    </w:p>
    <w:p w:rsidR="00000000" w:rsidDel="00000000" w:rsidP="00000000" w:rsidRDefault="00000000" w:rsidRPr="00000000" w14:paraId="00000023">
      <w:pPr>
        <w:numPr>
          <w:ilvl w:val="0"/>
          <w:numId w:val="15"/>
        </w:numPr>
        <w:spacing w:after="0" w:afterAutospacing="0" w:before="240" w:lineRule="auto"/>
        <w:ind w:left="720" w:hanging="360"/>
        <w:rPr>
          <w:sz w:val="24"/>
          <w:szCs w:val="24"/>
        </w:rPr>
      </w:pPr>
      <w:r w:rsidDel="00000000" w:rsidR="00000000" w:rsidRPr="00000000">
        <w:rPr>
          <w:b w:val="1"/>
          <w:sz w:val="24"/>
          <w:szCs w:val="24"/>
          <w:rtl w:val="0"/>
        </w:rPr>
        <w:t xml:space="preserve">10-Year Default Rate (BB category):</w:t>
      </w:r>
      <w:r w:rsidDel="00000000" w:rsidR="00000000" w:rsidRPr="00000000">
        <w:rPr>
          <w:sz w:val="24"/>
          <w:szCs w:val="24"/>
          <w:rtl w:val="0"/>
        </w:rPr>
        <w:t xml:space="preserve"> 7.2%</w:t>
      </w:r>
    </w:p>
    <w:p w:rsidR="00000000" w:rsidDel="00000000" w:rsidP="00000000" w:rsidRDefault="00000000" w:rsidRPr="00000000" w14:paraId="00000024">
      <w:pPr>
        <w:numPr>
          <w:ilvl w:val="0"/>
          <w:numId w:val="15"/>
        </w:numPr>
        <w:spacing w:after="0" w:afterAutospacing="0" w:before="0" w:beforeAutospacing="0" w:lineRule="auto"/>
        <w:ind w:left="720" w:hanging="360"/>
        <w:rPr>
          <w:sz w:val="24"/>
          <w:szCs w:val="24"/>
        </w:rPr>
      </w:pPr>
      <w:r w:rsidDel="00000000" w:rsidR="00000000" w:rsidRPr="00000000">
        <w:rPr>
          <w:b w:val="1"/>
          <w:sz w:val="24"/>
          <w:szCs w:val="24"/>
          <w:rtl w:val="0"/>
        </w:rPr>
        <w:t xml:space="preserve">Characteristics:</w:t>
      </w:r>
      <w:r w:rsidDel="00000000" w:rsidR="00000000" w:rsidRPr="00000000">
        <w:rPr>
          <w:sz w:val="24"/>
          <w:szCs w:val="24"/>
          <w:rtl w:val="0"/>
        </w:rPr>
        <w:t xml:space="preserve"> Highest technical barriers, concentrated customer base, dual-use applications</w:t>
      </w:r>
    </w:p>
    <w:p w:rsidR="00000000" w:rsidDel="00000000" w:rsidP="00000000" w:rsidRDefault="00000000" w:rsidRPr="00000000" w14:paraId="00000025">
      <w:pPr>
        <w:numPr>
          <w:ilvl w:val="0"/>
          <w:numId w:val="15"/>
        </w:numPr>
        <w:spacing w:after="240" w:before="0" w:beforeAutospacing="0" w:lineRule="auto"/>
        <w:ind w:left="720" w:hanging="360"/>
        <w:rPr>
          <w:sz w:val="24"/>
          <w:szCs w:val="24"/>
        </w:rPr>
      </w:pPr>
      <w:r w:rsidDel="00000000" w:rsidR="00000000" w:rsidRPr="00000000">
        <w:rPr>
          <w:b w:val="1"/>
          <w:sz w:val="24"/>
          <w:szCs w:val="24"/>
          <w:rtl w:val="0"/>
        </w:rPr>
        <w:t xml:space="preserve">Performance:</w:t>
      </w:r>
      <w:r w:rsidDel="00000000" w:rsidR="00000000" w:rsidRPr="00000000">
        <w:rPr>
          <w:sz w:val="24"/>
          <w:szCs w:val="24"/>
          <w:rtl w:val="0"/>
        </w:rPr>
        <w:t xml:space="preserve"> Lower COVID default rates due to defense exposure, faster recovery</w:t>
      </w:r>
    </w:p>
    <w:p w:rsidR="00000000" w:rsidDel="00000000" w:rsidP="00000000" w:rsidRDefault="00000000" w:rsidRPr="00000000" w14:paraId="00000026">
      <w:pPr>
        <w:pStyle w:val="Heading3"/>
        <w:keepNext w:val="0"/>
        <w:keepLines w:val="0"/>
        <w:spacing w:before="280" w:lineRule="auto"/>
        <w:rPr>
          <w:b w:val="1"/>
          <w:color w:val="000000"/>
          <w:sz w:val="24"/>
          <w:szCs w:val="24"/>
        </w:rPr>
      </w:pPr>
      <w:bookmarkStart w:colFirst="0" w:colLast="0" w:name="_nq0hui1ewp6l" w:id="7"/>
      <w:bookmarkEnd w:id="7"/>
      <w:r w:rsidDel="00000000" w:rsidR="00000000" w:rsidRPr="00000000">
        <w:rPr>
          <w:b w:val="1"/>
          <w:color w:val="000000"/>
          <w:sz w:val="24"/>
          <w:szCs w:val="24"/>
          <w:rtl w:val="0"/>
        </w:rPr>
        <w:t xml:space="preserve">Default Drivers by Segment:</w:t>
      </w:r>
    </w:p>
    <w:p w:rsidR="00000000" w:rsidDel="00000000" w:rsidP="00000000" w:rsidRDefault="00000000" w:rsidRPr="00000000" w14:paraId="00000027">
      <w:pPr>
        <w:numPr>
          <w:ilvl w:val="0"/>
          <w:numId w:val="13"/>
        </w:numPr>
        <w:spacing w:after="0" w:afterAutospacing="0" w:before="240" w:lineRule="auto"/>
        <w:ind w:left="720" w:hanging="360"/>
        <w:rPr>
          <w:sz w:val="24"/>
          <w:szCs w:val="24"/>
        </w:rPr>
      </w:pPr>
      <w:r w:rsidDel="00000000" w:rsidR="00000000" w:rsidRPr="00000000">
        <w:rPr>
          <w:b w:val="1"/>
          <w:sz w:val="24"/>
          <w:szCs w:val="24"/>
          <w:rtl w:val="0"/>
        </w:rPr>
        <w:t xml:space="preserve">Program delays/cancellations:</w:t>
      </w:r>
      <w:r w:rsidDel="00000000" w:rsidR="00000000" w:rsidRPr="00000000">
        <w:rPr>
          <w:sz w:val="24"/>
          <w:szCs w:val="24"/>
          <w:rtl w:val="0"/>
        </w:rPr>
        <w:t xml:space="preserve"> 34%</w:t>
      </w:r>
    </w:p>
    <w:p w:rsidR="00000000" w:rsidDel="00000000" w:rsidP="00000000" w:rsidRDefault="00000000" w:rsidRPr="00000000" w14:paraId="00000028">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Quality/regulatory failures:</w:t>
      </w:r>
      <w:r w:rsidDel="00000000" w:rsidR="00000000" w:rsidRPr="00000000">
        <w:rPr>
          <w:sz w:val="24"/>
          <w:szCs w:val="24"/>
          <w:rtl w:val="0"/>
        </w:rPr>
        <w:t xml:space="preserve"> 28%</w:t>
      </w:r>
    </w:p>
    <w:p w:rsidR="00000000" w:rsidDel="00000000" w:rsidP="00000000" w:rsidRDefault="00000000" w:rsidRPr="00000000" w14:paraId="00000029">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Customer concentration:</w:t>
      </w:r>
      <w:r w:rsidDel="00000000" w:rsidR="00000000" w:rsidRPr="00000000">
        <w:rPr>
          <w:sz w:val="24"/>
          <w:szCs w:val="24"/>
          <w:rtl w:val="0"/>
        </w:rPr>
        <w:t xml:space="preserve"> 21%</w:t>
      </w:r>
    </w:p>
    <w:p w:rsidR="00000000" w:rsidDel="00000000" w:rsidP="00000000" w:rsidRDefault="00000000" w:rsidRPr="00000000" w14:paraId="0000002A">
      <w:pPr>
        <w:numPr>
          <w:ilvl w:val="0"/>
          <w:numId w:val="13"/>
        </w:numPr>
        <w:spacing w:after="240" w:before="0" w:beforeAutospacing="0" w:lineRule="auto"/>
        <w:ind w:left="720" w:hanging="360"/>
        <w:rPr>
          <w:sz w:val="24"/>
          <w:szCs w:val="24"/>
        </w:rPr>
      </w:pPr>
      <w:r w:rsidDel="00000000" w:rsidR="00000000" w:rsidRPr="00000000">
        <w:rPr>
          <w:b w:val="1"/>
          <w:sz w:val="24"/>
          <w:szCs w:val="24"/>
          <w:rtl w:val="0"/>
        </w:rPr>
        <w:t xml:space="preserve">Cyclical demand:</w:t>
      </w:r>
      <w:r w:rsidDel="00000000" w:rsidR="00000000" w:rsidRPr="00000000">
        <w:rPr>
          <w:sz w:val="24"/>
          <w:szCs w:val="24"/>
          <w:rtl w:val="0"/>
        </w:rPr>
        <w:t xml:space="preserve"> 17%</w:t>
      </w:r>
    </w:p>
    <w:p w:rsidR="00000000" w:rsidDel="00000000" w:rsidP="00000000" w:rsidRDefault="00000000" w:rsidRPr="00000000" w14:paraId="0000002B">
      <w:pPr>
        <w:pStyle w:val="Heading3"/>
        <w:keepNext w:val="0"/>
        <w:keepLines w:val="0"/>
        <w:spacing w:before="280" w:lineRule="auto"/>
        <w:rPr>
          <w:b w:val="1"/>
          <w:color w:val="000000"/>
          <w:sz w:val="24"/>
          <w:szCs w:val="24"/>
        </w:rPr>
      </w:pPr>
      <w:bookmarkStart w:colFirst="0" w:colLast="0" w:name="_169y95kt6vvx" w:id="8"/>
      <w:bookmarkEnd w:id="8"/>
      <w:r w:rsidDel="00000000" w:rsidR="00000000" w:rsidRPr="00000000">
        <w:rPr>
          <w:b w:val="1"/>
          <w:color w:val="000000"/>
          <w:sz w:val="24"/>
          <w:szCs w:val="24"/>
          <w:rtl w:val="0"/>
        </w:rPr>
        <w:t xml:space="preserve">Avionics &amp; Electronics</w:t>
      </w:r>
    </w:p>
    <w:p w:rsidR="00000000" w:rsidDel="00000000" w:rsidP="00000000" w:rsidRDefault="00000000" w:rsidRPr="00000000" w14:paraId="0000002C">
      <w:pPr>
        <w:numPr>
          <w:ilvl w:val="0"/>
          <w:numId w:val="27"/>
        </w:numPr>
        <w:spacing w:after="240" w:before="240" w:lineRule="auto"/>
        <w:ind w:left="720" w:hanging="360"/>
        <w:rPr>
          <w:sz w:val="24"/>
          <w:szCs w:val="24"/>
        </w:rPr>
      </w:pPr>
      <w:r w:rsidDel="00000000" w:rsidR="00000000" w:rsidRPr="00000000">
        <w:rPr>
          <w:b w:val="1"/>
          <w:sz w:val="24"/>
          <w:szCs w:val="24"/>
          <w:rtl w:val="0"/>
        </w:rPr>
        <w:t xml:space="preserve">Default Rate:</w:t>
      </w:r>
      <w:r w:rsidDel="00000000" w:rsidR="00000000" w:rsidRPr="00000000">
        <w:rPr>
          <w:sz w:val="24"/>
          <w:szCs w:val="24"/>
          <w:rtl w:val="0"/>
        </w:rPr>
        <w:t xml:space="preserve"> 9.1% (higher technology obsolescence risk)</w:t>
      </w:r>
    </w:p>
    <w:p w:rsidR="00000000" w:rsidDel="00000000" w:rsidP="00000000" w:rsidRDefault="00000000" w:rsidRPr="00000000" w14:paraId="0000002D">
      <w:pPr>
        <w:pStyle w:val="Heading3"/>
        <w:keepNext w:val="0"/>
        <w:keepLines w:val="0"/>
        <w:spacing w:before="280" w:lineRule="auto"/>
        <w:rPr>
          <w:b w:val="1"/>
          <w:color w:val="000000"/>
          <w:sz w:val="24"/>
          <w:szCs w:val="24"/>
        </w:rPr>
      </w:pPr>
      <w:bookmarkStart w:colFirst="0" w:colLast="0" w:name="_2w8uaxd0awiu" w:id="9"/>
      <w:bookmarkEnd w:id="9"/>
      <w:r w:rsidDel="00000000" w:rsidR="00000000" w:rsidRPr="00000000">
        <w:rPr>
          <w:b w:val="1"/>
          <w:color w:val="000000"/>
          <w:sz w:val="24"/>
          <w:szCs w:val="24"/>
          <w:rtl w:val="0"/>
        </w:rPr>
        <w:t xml:space="preserve">Structural Components</w:t>
      </w:r>
    </w:p>
    <w:p w:rsidR="00000000" w:rsidDel="00000000" w:rsidP="00000000" w:rsidRDefault="00000000" w:rsidRPr="00000000" w14:paraId="0000002E">
      <w:pPr>
        <w:numPr>
          <w:ilvl w:val="0"/>
          <w:numId w:val="23"/>
        </w:numPr>
        <w:spacing w:after="240" w:before="240" w:lineRule="auto"/>
        <w:ind w:left="720" w:hanging="360"/>
        <w:rPr>
          <w:sz w:val="24"/>
          <w:szCs w:val="24"/>
        </w:rPr>
      </w:pPr>
      <w:r w:rsidDel="00000000" w:rsidR="00000000" w:rsidRPr="00000000">
        <w:rPr>
          <w:b w:val="1"/>
          <w:sz w:val="24"/>
          <w:szCs w:val="24"/>
          <w:rtl w:val="0"/>
        </w:rPr>
        <w:t xml:space="preserve">Default Rate:</w:t>
      </w:r>
      <w:r w:rsidDel="00000000" w:rsidR="00000000" w:rsidRPr="00000000">
        <w:rPr>
          <w:sz w:val="24"/>
          <w:szCs w:val="24"/>
          <w:rtl w:val="0"/>
        </w:rPr>
        <w:t xml:space="preserve"> 11.3% (price competition, labor intensity)</w:t>
      </w:r>
    </w:p>
    <w:p w:rsidR="00000000" w:rsidDel="00000000" w:rsidP="00000000" w:rsidRDefault="00000000" w:rsidRPr="00000000" w14:paraId="0000002F">
      <w:pPr>
        <w:pStyle w:val="Heading2"/>
        <w:keepNext w:val="0"/>
        <w:keepLines w:val="0"/>
        <w:spacing w:after="80" w:lineRule="auto"/>
        <w:rPr>
          <w:b w:val="1"/>
          <w:sz w:val="24"/>
          <w:szCs w:val="24"/>
        </w:rPr>
      </w:pPr>
      <w:bookmarkStart w:colFirst="0" w:colLast="0" w:name="_rkv6r0rr9e4i" w:id="10"/>
      <w:bookmarkEnd w:id="10"/>
      <w:r w:rsidDel="00000000" w:rsidR="00000000" w:rsidRPr="00000000">
        <w:rPr>
          <w:b w:val="1"/>
          <w:sz w:val="24"/>
          <w:szCs w:val="24"/>
          <w:rtl w:val="0"/>
        </w:rPr>
        <w:t xml:space="preserve">Primary Default Risk Factors</w:t>
      </w:r>
    </w:p>
    <w:p w:rsidR="00000000" w:rsidDel="00000000" w:rsidP="00000000" w:rsidRDefault="00000000" w:rsidRPr="00000000" w14:paraId="00000030">
      <w:pPr>
        <w:pStyle w:val="Heading3"/>
        <w:keepNext w:val="0"/>
        <w:keepLines w:val="0"/>
        <w:spacing w:before="280" w:lineRule="auto"/>
        <w:rPr>
          <w:b w:val="1"/>
          <w:color w:val="000000"/>
          <w:sz w:val="24"/>
          <w:szCs w:val="24"/>
        </w:rPr>
      </w:pPr>
      <w:bookmarkStart w:colFirst="0" w:colLast="0" w:name="_okvlbahhvf58" w:id="11"/>
      <w:bookmarkEnd w:id="11"/>
      <w:r w:rsidDel="00000000" w:rsidR="00000000" w:rsidRPr="00000000">
        <w:rPr>
          <w:b w:val="1"/>
          <w:color w:val="000000"/>
          <w:sz w:val="24"/>
          <w:szCs w:val="24"/>
          <w:rtl w:val="0"/>
        </w:rPr>
        <w:t xml:space="preserve">1. Customer Concentration Risk (31% of defaults)</w:t>
      </w:r>
    </w:p>
    <w:p w:rsidR="00000000" w:rsidDel="00000000" w:rsidP="00000000" w:rsidRDefault="00000000" w:rsidRPr="00000000" w14:paraId="00000031">
      <w:pPr>
        <w:numPr>
          <w:ilvl w:val="0"/>
          <w:numId w:val="19"/>
        </w:numPr>
        <w:spacing w:after="0" w:afterAutospacing="0" w:before="240" w:lineRule="auto"/>
        <w:ind w:left="720" w:hanging="360"/>
        <w:rPr>
          <w:sz w:val="24"/>
          <w:szCs w:val="24"/>
        </w:rPr>
      </w:pPr>
      <w:r w:rsidDel="00000000" w:rsidR="00000000" w:rsidRPr="00000000">
        <w:rPr>
          <w:b w:val="1"/>
          <w:sz w:val="24"/>
          <w:szCs w:val="24"/>
          <w:rtl w:val="0"/>
        </w:rPr>
        <w:t xml:space="preserve">High Risk Indicators:</w:t>
      </w:r>
      <w:r w:rsidDel="00000000" w:rsidR="00000000" w:rsidRPr="00000000">
        <w:rPr>
          <w:sz w:val="24"/>
          <w:szCs w:val="24"/>
          <w:rtl w:val="0"/>
        </w:rPr>
        <w:t xml:space="preserve"> &gt;40% revenue from single customer, &gt;60% from single program</w:t>
      </w:r>
    </w:p>
    <w:p w:rsidR="00000000" w:rsidDel="00000000" w:rsidP="00000000" w:rsidRDefault="00000000" w:rsidRPr="00000000" w14:paraId="00000032">
      <w:pPr>
        <w:numPr>
          <w:ilvl w:val="0"/>
          <w:numId w:val="19"/>
        </w:numPr>
        <w:spacing w:after="240" w:before="0" w:beforeAutospacing="0" w:lineRule="auto"/>
        <w:ind w:left="720" w:hanging="360"/>
        <w:rPr>
          <w:sz w:val="24"/>
          <w:szCs w:val="24"/>
        </w:rPr>
      </w:pPr>
      <w:r w:rsidDel="00000000" w:rsidR="00000000" w:rsidRPr="00000000">
        <w:rPr>
          <w:b w:val="1"/>
          <w:sz w:val="24"/>
          <w:szCs w:val="24"/>
          <w:rtl w:val="0"/>
        </w:rPr>
        <w:t xml:space="preserve">Case Study:</w:t>
      </w:r>
      <w:r w:rsidDel="00000000" w:rsidR="00000000" w:rsidRPr="00000000">
        <w:rPr>
          <w:sz w:val="24"/>
          <w:szCs w:val="24"/>
          <w:rtl w:val="0"/>
        </w:rPr>
        <w:t xml:space="preserve"> SkyComponents Inc. - 85% revenue from Boeing 737 MAX suppliers, defaulted within 18 months of MAX grounding</w:t>
      </w:r>
    </w:p>
    <w:p w:rsidR="00000000" w:rsidDel="00000000" w:rsidP="00000000" w:rsidRDefault="00000000" w:rsidRPr="00000000" w14:paraId="00000033">
      <w:pPr>
        <w:pStyle w:val="Heading3"/>
        <w:keepNext w:val="0"/>
        <w:keepLines w:val="0"/>
        <w:spacing w:before="280" w:lineRule="auto"/>
        <w:rPr>
          <w:b w:val="1"/>
          <w:color w:val="000000"/>
          <w:sz w:val="24"/>
          <w:szCs w:val="24"/>
        </w:rPr>
      </w:pPr>
      <w:bookmarkStart w:colFirst="0" w:colLast="0" w:name="_6z52pyurx935" w:id="12"/>
      <w:bookmarkEnd w:id="12"/>
      <w:r w:rsidDel="00000000" w:rsidR="00000000" w:rsidRPr="00000000">
        <w:rPr>
          <w:b w:val="1"/>
          <w:color w:val="000000"/>
          <w:sz w:val="24"/>
          <w:szCs w:val="24"/>
          <w:rtl w:val="0"/>
        </w:rPr>
        <w:t xml:space="preserve">2. Operational Leverage (27% of defaults)</w:t>
      </w:r>
    </w:p>
    <w:p w:rsidR="00000000" w:rsidDel="00000000" w:rsidP="00000000" w:rsidRDefault="00000000" w:rsidRPr="00000000" w14:paraId="00000034">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High fixed costs, specialized workforce, limited operational flexibility</w:t>
      </w:r>
    </w:p>
    <w:p w:rsidR="00000000" w:rsidDel="00000000" w:rsidP="00000000" w:rsidRDefault="00000000" w:rsidRPr="00000000" w14:paraId="00000035">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Manufacturing facilities with high depreciation/lease costs</w:t>
      </w:r>
    </w:p>
    <w:p w:rsidR="00000000" w:rsidDel="00000000" w:rsidP="00000000" w:rsidRDefault="00000000" w:rsidRPr="00000000" w14:paraId="00000036">
      <w:pPr>
        <w:pStyle w:val="Heading3"/>
        <w:keepNext w:val="0"/>
        <w:keepLines w:val="0"/>
        <w:spacing w:before="280" w:lineRule="auto"/>
        <w:rPr>
          <w:b w:val="1"/>
          <w:color w:val="000000"/>
          <w:sz w:val="24"/>
          <w:szCs w:val="24"/>
        </w:rPr>
      </w:pPr>
      <w:bookmarkStart w:colFirst="0" w:colLast="0" w:name="_2fj0cqx0clx0" w:id="13"/>
      <w:bookmarkEnd w:id="13"/>
      <w:r w:rsidDel="00000000" w:rsidR="00000000" w:rsidRPr="00000000">
        <w:rPr>
          <w:b w:val="1"/>
          <w:color w:val="000000"/>
          <w:sz w:val="24"/>
          <w:szCs w:val="24"/>
          <w:rtl w:val="0"/>
        </w:rPr>
        <w:t xml:space="preserve">3. Working Capital Management (19% of defaults)</w:t>
      </w:r>
    </w:p>
    <w:p w:rsidR="00000000" w:rsidDel="00000000" w:rsidP="00000000" w:rsidRDefault="00000000" w:rsidRPr="00000000" w14:paraId="00000037">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Extended production cycles (6-18 months)</w:t>
      </w:r>
    </w:p>
    <w:p w:rsidR="00000000" w:rsidDel="00000000" w:rsidP="00000000" w:rsidRDefault="00000000" w:rsidRPr="00000000" w14:paraId="00000038">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Customer payment term extensions during stress</w:t>
      </w:r>
    </w:p>
    <w:p w:rsidR="00000000" w:rsidDel="00000000" w:rsidP="00000000" w:rsidRDefault="00000000" w:rsidRPr="00000000" w14:paraId="00000039">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Inventory obsolescence risk</w:t>
      </w:r>
    </w:p>
    <w:p w:rsidR="00000000" w:rsidDel="00000000" w:rsidP="00000000" w:rsidRDefault="00000000" w:rsidRPr="00000000" w14:paraId="0000003A">
      <w:pPr>
        <w:pStyle w:val="Heading3"/>
        <w:keepNext w:val="0"/>
        <w:keepLines w:val="0"/>
        <w:spacing w:before="280" w:lineRule="auto"/>
        <w:rPr>
          <w:b w:val="1"/>
          <w:color w:val="000000"/>
          <w:sz w:val="24"/>
          <w:szCs w:val="24"/>
        </w:rPr>
      </w:pPr>
      <w:bookmarkStart w:colFirst="0" w:colLast="0" w:name="_mkscit97yu7n" w:id="14"/>
      <w:bookmarkEnd w:id="14"/>
      <w:r w:rsidDel="00000000" w:rsidR="00000000" w:rsidRPr="00000000">
        <w:rPr>
          <w:b w:val="1"/>
          <w:color w:val="000000"/>
          <w:sz w:val="24"/>
          <w:szCs w:val="24"/>
          <w:rtl w:val="0"/>
        </w:rPr>
        <w:t xml:space="preserve">4. Quality/Regulatory Issues (14% of defaults)</w:t>
      </w:r>
    </w:p>
    <w:p w:rsidR="00000000" w:rsidDel="00000000" w:rsidP="00000000" w:rsidRDefault="00000000" w:rsidRPr="00000000" w14:paraId="0000003B">
      <w:pPr>
        <w:numPr>
          <w:ilvl w:val="0"/>
          <w:numId w:val="14"/>
        </w:numPr>
        <w:spacing w:after="0" w:afterAutospacing="0" w:before="240" w:lineRule="auto"/>
        <w:ind w:left="720" w:hanging="360"/>
        <w:rPr>
          <w:sz w:val="24"/>
          <w:szCs w:val="24"/>
        </w:rPr>
      </w:pPr>
      <w:r w:rsidDel="00000000" w:rsidR="00000000" w:rsidRPr="00000000">
        <w:rPr>
          <w:b w:val="1"/>
          <w:sz w:val="24"/>
          <w:szCs w:val="24"/>
          <w:rtl w:val="0"/>
        </w:rPr>
        <w:t xml:space="preserve">Case Study:</w:t>
      </w:r>
      <w:r w:rsidDel="00000000" w:rsidR="00000000" w:rsidRPr="00000000">
        <w:rPr>
          <w:sz w:val="24"/>
          <w:szCs w:val="24"/>
          <w:rtl w:val="0"/>
        </w:rPr>
        <w:t xml:space="preserve"> Precision Flight Systems - FAD audit led to $25M remediation, customer contract cancellations</w:t>
      </w:r>
    </w:p>
    <w:p w:rsidR="00000000" w:rsidDel="00000000" w:rsidP="00000000" w:rsidRDefault="00000000" w:rsidRPr="00000000" w14:paraId="0000003C">
      <w:pPr>
        <w:numPr>
          <w:ilvl w:val="0"/>
          <w:numId w:val="14"/>
        </w:numPr>
        <w:spacing w:after="240" w:before="0" w:beforeAutospacing="0" w:lineRule="auto"/>
        <w:ind w:left="720" w:hanging="360"/>
        <w:rPr>
          <w:sz w:val="24"/>
          <w:szCs w:val="24"/>
        </w:rPr>
      </w:pPr>
      <w:r w:rsidDel="00000000" w:rsidR="00000000" w:rsidRPr="00000000">
        <w:rPr>
          <w:b w:val="1"/>
          <w:sz w:val="24"/>
          <w:szCs w:val="24"/>
          <w:rtl w:val="0"/>
        </w:rPr>
        <w:t xml:space="preserve">Impact:</w:t>
      </w:r>
      <w:r w:rsidDel="00000000" w:rsidR="00000000" w:rsidRPr="00000000">
        <w:rPr>
          <w:sz w:val="24"/>
          <w:szCs w:val="24"/>
          <w:rtl w:val="0"/>
        </w:rPr>
        <w:t xml:space="preserve"> Quality incidents average $8.2M in costs</w:t>
      </w:r>
    </w:p>
    <w:p w:rsidR="00000000" w:rsidDel="00000000" w:rsidP="00000000" w:rsidRDefault="00000000" w:rsidRPr="00000000" w14:paraId="0000003D">
      <w:pPr>
        <w:pStyle w:val="Heading3"/>
        <w:keepNext w:val="0"/>
        <w:keepLines w:val="0"/>
        <w:spacing w:before="280" w:lineRule="auto"/>
        <w:rPr>
          <w:b w:val="1"/>
          <w:color w:val="000000"/>
          <w:sz w:val="24"/>
          <w:szCs w:val="24"/>
        </w:rPr>
      </w:pPr>
      <w:bookmarkStart w:colFirst="0" w:colLast="0" w:name="_at2zhe85bg4w" w:id="15"/>
      <w:bookmarkEnd w:id="15"/>
      <w:r w:rsidDel="00000000" w:rsidR="00000000" w:rsidRPr="00000000">
        <w:rPr>
          <w:b w:val="1"/>
          <w:color w:val="000000"/>
          <w:sz w:val="24"/>
          <w:szCs w:val="24"/>
          <w:rtl w:val="0"/>
        </w:rPr>
        <w:t xml:space="preserve">5. Technology Obsolescence (9% of defaults)</w:t>
      </w:r>
    </w:p>
    <w:p w:rsidR="00000000" w:rsidDel="00000000" w:rsidP="00000000" w:rsidRDefault="00000000" w:rsidRPr="00000000" w14:paraId="0000003E">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Shift from mechanical to electronic systems</w:t>
      </w:r>
    </w:p>
    <w:p w:rsidR="00000000" w:rsidDel="00000000" w:rsidP="00000000" w:rsidRDefault="00000000" w:rsidRPr="00000000" w14:paraId="0000003F">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R&amp;D underinvestment relative to technology advancement pace</w:t>
      </w:r>
    </w:p>
    <w:p w:rsidR="00000000" w:rsidDel="00000000" w:rsidP="00000000" w:rsidRDefault="00000000" w:rsidRPr="00000000" w14:paraId="00000040">
      <w:pPr>
        <w:pStyle w:val="Heading2"/>
        <w:keepNext w:val="0"/>
        <w:keepLines w:val="0"/>
        <w:spacing w:after="80" w:lineRule="auto"/>
        <w:rPr>
          <w:b w:val="1"/>
          <w:sz w:val="24"/>
          <w:szCs w:val="24"/>
        </w:rPr>
      </w:pPr>
      <w:bookmarkStart w:colFirst="0" w:colLast="0" w:name="_usywu1jy2gsa" w:id="16"/>
      <w:bookmarkEnd w:id="16"/>
      <w:r w:rsidDel="00000000" w:rsidR="00000000" w:rsidRPr="00000000">
        <w:rPr>
          <w:b w:val="1"/>
          <w:sz w:val="24"/>
          <w:szCs w:val="24"/>
          <w:rtl w:val="0"/>
        </w:rPr>
        <w:t xml:space="preserve">COVID-19 Impact Analysis</w:t>
      </w:r>
    </w:p>
    <w:p w:rsidR="00000000" w:rsidDel="00000000" w:rsidP="00000000" w:rsidRDefault="00000000" w:rsidRPr="00000000" w14:paraId="00000041">
      <w:pPr>
        <w:pStyle w:val="Heading3"/>
        <w:keepNext w:val="0"/>
        <w:keepLines w:val="0"/>
        <w:spacing w:before="280" w:lineRule="auto"/>
        <w:rPr>
          <w:b w:val="1"/>
          <w:color w:val="000000"/>
          <w:sz w:val="24"/>
          <w:szCs w:val="24"/>
        </w:rPr>
      </w:pPr>
      <w:bookmarkStart w:colFirst="0" w:colLast="0" w:name="_2wdhzwgseq32" w:id="17"/>
      <w:bookmarkEnd w:id="17"/>
      <w:r w:rsidDel="00000000" w:rsidR="00000000" w:rsidRPr="00000000">
        <w:rPr>
          <w:b w:val="1"/>
          <w:color w:val="000000"/>
          <w:sz w:val="24"/>
          <w:szCs w:val="24"/>
          <w:rtl w:val="0"/>
        </w:rPr>
        <w:t xml:space="preserve">Crisis Response Patterns</w:t>
      </w:r>
    </w:p>
    <w:p w:rsidR="00000000" w:rsidDel="00000000" w:rsidP="00000000" w:rsidRDefault="00000000" w:rsidRPr="00000000" w14:paraId="00000042">
      <w:pPr>
        <w:spacing w:after="240" w:before="240" w:lineRule="auto"/>
        <w:rPr>
          <w:b w:val="1"/>
          <w:sz w:val="24"/>
          <w:szCs w:val="24"/>
        </w:rPr>
      </w:pPr>
      <w:r w:rsidDel="00000000" w:rsidR="00000000" w:rsidRPr="00000000">
        <w:rPr>
          <w:b w:val="1"/>
          <w:sz w:val="24"/>
          <w:szCs w:val="24"/>
          <w:rtl w:val="0"/>
        </w:rPr>
        <w:t xml:space="preserve">Successful Adaptations:</w:t>
      </w:r>
    </w:p>
    <w:p w:rsidR="00000000" w:rsidDel="00000000" w:rsidP="00000000" w:rsidRDefault="00000000" w:rsidRPr="00000000" w14:paraId="00000043">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Defense exposure providing stability</w:t>
      </w:r>
    </w:p>
    <w:p w:rsidR="00000000" w:rsidDel="00000000" w:rsidP="00000000" w:rsidRDefault="00000000" w:rsidRPr="00000000" w14:paraId="0000004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Effective cash conservation</w:t>
      </w:r>
    </w:p>
    <w:p w:rsidR="00000000" w:rsidDel="00000000" w:rsidP="00000000" w:rsidRDefault="00000000" w:rsidRPr="00000000" w14:paraId="0000004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Government support program utilization</w:t>
      </w:r>
    </w:p>
    <w:p w:rsidR="00000000" w:rsidDel="00000000" w:rsidP="00000000" w:rsidRDefault="00000000" w:rsidRPr="00000000" w14:paraId="00000046">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Operational cost agility</w:t>
      </w:r>
    </w:p>
    <w:p w:rsidR="00000000" w:rsidDel="00000000" w:rsidP="00000000" w:rsidRDefault="00000000" w:rsidRPr="00000000" w14:paraId="00000047">
      <w:pPr>
        <w:spacing w:after="240" w:before="240" w:lineRule="auto"/>
        <w:rPr>
          <w:b w:val="1"/>
          <w:sz w:val="24"/>
          <w:szCs w:val="24"/>
        </w:rPr>
      </w:pPr>
      <w:r w:rsidDel="00000000" w:rsidR="00000000" w:rsidRPr="00000000">
        <w:rPr>
          <w:b w:val="1"/>
          <w:sz w:val="24"/>
          <w:szCs w:val="24"/>
          <w:rtl w:val="0"/>
        </w:rPr>
        <w:t xml:space="preserve">Failed Strategies:</w:t>
      </w:r>
    </w:p>
    <w:p w:rsidR="00000000" w:rsidDel="00000000" w:rsidP="00000000" w:rsidRDefault="00000000" w:rsidRPr="00000000" w14:paraId="00000048">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Maintaining high fixed costs</w:t>
      </w:r>
    </w:p>
    <w:p w:rsidR="00000000" w:rsidDel="00000000" w:rsidP="00000000" w:rsidRDefault="00000000" w:rsidRPr="00000000" w14:paraId="0000004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Excessive leverage (&gt;4x debt/EBITDA)</w:t>
      </w:r>
    </w:p>
    <w:p w:rsidR="00000000" w:rsidDel="00000000" w:rsidP="00000000" w:rsidRDefault="00000000" w:rsidRPr="00000000" w14:paraId="0000004A">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Single-customer commercial focus</w:t>
      </w:r>
    </w:p>
    <w:p w:rsidR="00000000" w:rsidDel="00000000" w:rsidP="00000000" w:rsidRDefault="00000000" w:rsidRPr="00000000" w14:paraId="0000004B">
      <w:pPr>
        <w:pStyle w:val="Heading3"/>
        <w:keepNext w:val="0"/>
        <w:keepLines w:val="0"/>
        <w:spacing w:before="280" w:lineRule="auto"/>
        <w:rPr>
          <w:b w:val="1"/>
          <w:color w:val="000000"/>
          <w:sz w:val="24"/>
          <w:szCs w:val="24"/>
        </w:rPr>
      </w:pPr>
      <w:bookmarkStart w:colFirst="0" w:colLast="0" w:name="_xd6j4wrrigqt" w:id="18"/>
      <w:bookmarkEnd w:id="18"/>
      <w:r w:rsidDel="00000000" w:rsidR="00000000" w:rsidRPr="00000000">
        <w:rPr>
          <w:b w:val="1"/>
          <w:color w:val="000000"/>
          <w:sz w:val="24"/>
          <w:szCs w:val="24"/>
          <w:rtl w:val="0"/>
        </w:rPr>
        <w:t xml:space="preserve">Default Concentration by Segment:</w:t>
      </w:r>
    </w:p>
    <w:p w:rsidR="00000000" w:rsidDel="00000000" w:rsidP="00000000" w:rsidRDefault="00000000" w:rsidRPr="00000000" w14:paraId="0000004C">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Business aviation suppliers: 23%</w:t>
      </w:r>
    </w:p>
    <w:p w:rsidR="00000000" w:rsidDel="00000000" w:rsidP="00000000" w:rsidRDefault="00000000" w:rsidRPr="00000000" w14:paraId="0000004D">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Single-customer commercial: 18%</w:t>
      </w:r>
    </w:p>
    <w:p w:rsidR="00000000" w:rsidDel="00000000" w:rsidP="00000000" w:rsidRDefault="00000000" w:rsidRPr="00000000" w14:paraId="0000004E">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High leverage companies: 15%</w:t>
      </w:r>
    </w:p>
    <w:p w:rsidR="00000000" w:rsidDel="00000000" w:rsidP="00000000" w:rsidRDefault="00000000" w:rsidRPr="00000000" w14:paraId="0000004F">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Regional aircraft suppliers: 12%</w:t>
      </w:r>
    </w:p>
    <w:p w:rsidR="00000000" w:rsidDel="00000000" w:rsidP="00000000" w:rsidRDefault="00000000" w:rsidRPr="00000000" w14:paraId="00000050">
      <w:pPr>
        <w:pStyle w:val="Heading2"/>
        <w:keepNext w:val="0"/>
        <w:keepLines w:val="0"/>
        <w:spacing w:after="80" w:lineRule="auto"/>
        <w:rPr>
          <w:b w:val="1"/>
          <w:sz w:val="24"/>
          <w:szCs w:val="24"/>
        </w:rPr>
      </w:pPr>
      <w:bookmarkStart w:colFirst="0" w:colLast="0" w:name="_rapmaupm4ojf" w:id="19"/>
      <w:bookmarkEnd w:id="19"/>
      <w:r w:rsidDel="00000000" w:rsidR="00000000" w:rsidRPr="00000000">
        <w:rPr>
          <w:b w:val="1"/>
          <w:sz w:val="24"/>
          <w:szCs w:val="24"/>
          <w:rtl w:val="0"/>
        </w:rPr>
        <w:t xml:space="preserve">Financial Warning Indicators</w:t>
      </w:r>
    </w:p>
    <w:p w:rsidR="00000000" w:rsidDel="00000000" w:rsidP="00000000" w:rsidRDefault="00000000" w:rsidRPr="00000000" w14:paraId="00000051">
      <w:pPr>
        <w:pStyle w:val="Heading3"/>
        <w:keepNext w:val="0"/>
        <w:keepLines w:val="0"/>
        <w:spacing w:before="280" w:lineRule="auto"/>
        <w:rPr>
          <w:b w:val="1"/>
          <w:color w:val="000000"/>
          <w:sz w:val="24"/>
          <w:szCs w:val="24"/>
        </w:rPr>
      </w:pPr>
      <w:bookmarkStart w:colFirst="0" w:colLast="0" w:name="_gov7ur21823m" w:id="20"/>
      <w:bookmarkEnd w:id="20"/>
      <w:r w:rsidDel="00000000" w:rsidR="00000000" w:rsidRPr="00000000">
        <w:rPr>
          <w:b w:val="1"/>
          <w:color w:val="000000"/>
          <w:sz w:val="24"/>
          <w:szCs w:val="24"/>
          <w:rtl w:val="0"/>
        </w:rPr>
        <w:t xml:space="preserve">24 Months Before Default:</w:t>
      </w:r>
    </w:p>
    <w:p w:rsidR="00000000" w:rsidDel="00000000" w:rsidP="00000000" w:rsidRDefault="00000000" w:rsidRPr="00000000" w14:paraId="00000052">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Revenue volatility &gt;15% annually</w:t>
      </w:r>
    </w:p>
    <w:p w:rsidR="00000000" w:rsidDel="00000000" w:rsidP="00000000" w:rsidRDefault="00000000" w:rsidRPr="00000000" w14:paraId="0000005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EBITDA margins &lt;12% (vs sector median 15%)</w:t>
      </w:r>
    </w:p>
    <w:p w:rsidR="00000000" w:rsidDel="00000000" w:rsidP="00000000" w:rsidRDefault="00000000" w:rsidRPr="00000000" w14:paraId="0000005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Customer concentration &gt;50% for top 3</w:t>
      </w:r>
    </w:p>
    <w:p w:rsidR="00000000" w:rsidDel="00000000" w:rsidP="00000000" w:rsidRDefault="00000000" w:rsidRPr="00000000" w14:paraId="00000055">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Debt/EBITDA &gt;3.5x</w:t>
      </w:r>
    </w:p>
    <w:p w:rsidR="00000000" w:rsidDel="00000000" w:rsidP="00000000" w:rsidRDefault="00000000" w:rsidRPr="00000000" w14:paraId="00000056">
      <w:pPr>
        <w:pStyle w:val="Heading3"/>
        <w:keepNext w:val="0"/>
        <w:keepLines w:val="0"/>
        <w:spacing w:before="280" w:lineRule="auto"/>
        <w:rPr>
          <w:b w:val="1"/>
          <w:color w:val="000000"/>
          <w:sz w:val="24"/>
          <w:szCs w:val="24"/>
        </w:rPr>
      </w:pPr>
      <w:bookmarkStart w:colFirst="0" w:colLast="0" w:name="_bn3a53o4y777" w:id="21"/>
      <w:bookmarkEnd w:id="21"/>
      <w:r w:rsidDel="00000000" w:rsidR="00000000" w:rsidRPr="00000000">
        <w:rPr>
          <w:b w:val="1"/>
          <w:color w:val="000000"/>
          <w:sz w:val="24"/>
          <w:szCs w:val="24"/>
          <w:rtl w:val="0"/>
        </w:rPr>
        <w:t xml:space="preserve">12 Months Before Default:</w:t>
      </w:r>
    </w:p>
    <w:p w:rsidR="00000000" w:rsidDel="00000000" w:rsidP="00000000" w:rsidRDefault="00000000" w:rsidRPr="00000000" w14:paraId="00000057">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Working capital days &gt;120 (vs sector median 95)</w:t>
      </w:r>
    </w:p>
    <w:p w:rsidR="00000000" w:rsidDel="00000000" w:rsidP="00000000" w:rsidRDefault="00000000" w:rsidRPr="00000000" w14:paraId="0000005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Interest coverage &lt;2.0x</w:t>
      </w:r>
    </w:p>
    <w:p w:rsidR="00000000" w:rsidDel="00000000" w:rsidP="00000000" w:rsidRDefault="00000000" w:rsidRPr="00000000" w14:paraId="0000005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Current ratio &lt;1.1x</w:t>
      </w:r>
    </w:p>
    <w:p w:rsidR="00000000" w:rsidDel="00000000" w:rsidP="00000000" w:rsidRDefault="00000000" w:rsidRPr="00000000" w14:paraId="0000005A">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Deferred capital expenditures</w:t>
      </w:r>
    </w:p>
    <w:p w:rsidR="00000000" w:rsidDel="00000000" w:rsidP="00000000" w:rsidRDefault="00000000" w:rsidRPr="00000000" w14:paraId="0000005B">
      <w:pPr>
        <w:pStyle w:val="Heading3"/>
        <w:keepNext w:val="0"/>
        <w:keepLines w:val="0"/>
        <w:spacing w:before="280" w:lineRule="auto"/>
        <w:rPr>
          <w:b w:val="1"/>
          <w:color w:val="000000"/>
          <w:sz w:val="24"/>
          <w:szCs w:val="24"/>
        </w:rPr>
      </w:pPr>
      <w:bookmarkStart w:colFirst="0" w:colLast="0" w:name="_spioxd6qk93l" w:id="22"/>
      <w:bookmarkEnd w:id="22"/>
      <w:r w:rsidDel="00000000" w:rsidR="00000000" w:rsidRPr="00000000">
        <w:rPr>
          <w:b w:val="1"/>
          <w:color w:val="000000"/>
          <w:sz w:val="24"/>
          <w:szCs w:val="24"/>
          <w:rtl w:val="0"/>
        </w:rPr>
        <w:t xml:space="preserve">Aerospace-Specific Indicators:</w:t>
      </w:r>
    </w:p>
    <w:p w:rsidR="00000000" w:rsidDel="00000000" w:rsidP="00000000" w:rsidRDefault="00000000" w:rsidRPr="00000000" w14:paraId="0000005C">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New program win rates &lt;25%</w:t>
      </w:r>
    </w:p>
    <w:p w:rsidR="00000000" w:rsidDel="00000000" w:rsidP="00000000" w:rsidRDefault="00000000" w:rsidRPr="00000000" w14:paraId="0000005D">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On-time delivery performance &lt;95%</w:t>
      </w:r>
    </w:p>
    <w:p w:rsidR="00000000" w:rsidDel="00000000" w:rsidP="00000000" w:rsidRDefault="00000000" w:rsidRPr="00000000" w14:paraId="0000005E">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Customer quality rating deterioration</w:t>
      </w:r>
    </w:p>
    <w:p w:rsidR="00000000" w:rsidDel="00000000" w:rsidP="00000000" w:rsidRDefault="00000000" w:rsidRPr="00000000" w14:paraId="0000005F">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Key program delays affecting forecasts</w:t>
      </w:r>
    </w:p>
    <w:p w:rsidR="00000000" w:rsidDel="00000000" w:rsidP="00000000" w:rsidRDefault="00000000" w:rsidRPr="00000000" w14:paraId="00000060">
      <w:pPr>
        <w:pStyle w:val="Heading2"/>
        <w:keepNext w:val="0"/>
        <w:keepLines w:val="0"/>
        <w:spacing w:after="80" w:lineRule="auto"/>
        <w:rPr>
          <w:b w:val="1"/>
          <w:sz w:val="24"/>
          <w:szCs w:val="24"/>
        </w:rPr>
      </w:pPr>
      <w:bookmarkStart w:colFirst="0" w:colLast="0" w:name="_ws0m7wq1whjv" w:id="23"/>
      <w:bookmarkEnd w:id="23"/>
      <w:r w:rsidDel="00000000" w:rsidR="00000000" w:rsidRPr="00000000">
        <w:rPr>
          <w:b w:val="1"/>
          <w:sz w:val="24"/>
          <w:szCs w:val="24"/>
          <w:rtl w:val="0"/>
        </w:rPr>
        <w:t xml:space="preserve">Recovery Rate Analysis</w:t>
      </w:r>
    </w:p>
    <w:p w:rsidR="00000000" w:rsidDel="00000000" w:rsidP="00000000" w:rsidRDefault="00000000" w:rsidRPr="00000000" w14:paraId="00000061">
      <w:pPr>
        <w:pStyle w:val="Heading3"/>
        <w:keepNext w:val="0"/>
        <w:keepLines w:val="0"/>
        <w:spacing w:before="280" w:lineRule="auto"/>
        <w:rPr>
          <w:b w:val="1"/>
          <w:color w:val="000000"/>
          <w:sz w:val="24"/>
          <w:szCs w:val="24"/>
        </w:rPr>
      </w:pPr>
      <w:bookmarkStart w:colFirst="0" w:colLast="0" w:name="_b089a9amg639" w:id="24"/>
      <w:bookmarkEnd w:id="24"/>
      <w:r w:rsidDel="00000000" w:rsidR="00000000" w:rsidRPr="00000000">
        <w:rPr>
          <w:b w:val="1"/>
          <w:color w:val="000000"/>
          <w:sz w:val="24"/>
          <w:szCs w:val="24"/>
          <w:rtl w:val="0"/>
        </w:rPr>
        <w:t xml:space="preserve">Asset Recovery by Type:</w:t>
      </w:r>
    </w:p>
    <w:p w:rsidR="00000000" w:rsidDel="00000000" w:rsidP="00000000" w:rsidRDefault="00000000" w:rsidRPr="00000000" w14:paraId="00000062">
      <w:pPr>
        <w:spacing w:after="240" w:before="240" w:lineRule="auto"/>
        <w:rPr>
          <w:b w:val="1"/>
          <w:sz w:val="24"/>
          <w:szCs w:val="24"/>
        </w:rPr>
      </w:pPr>
      <w:r w:rsidDel="00000000" w:rsidR="00000000" w:rsidRPr="00000000">
        <w:rPr>
          <w:b w:val="1"/>
          <w:sz w:val="24"/>
          <w:szCs w:val="24"/>
          <w:rtl w:val="0"/>
        </w:rPr>
        <w:t xml:space="preserve">Tier 2 Engine Component Suppliers:</w:t>
      </w:r>
    </w:p>
    <w:p w:rsidR="00000000" w:rsidDel="00000000" w:rsidP="00000000" w:rsidRDefault="00000000" w:rsidRPr="00000000" w14:paraId="00000063">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Senior Secured: 71% average recovery</w:t>
      </w:r>
    </w:p>
    <w:p w:rsidR="00000000" w:rsidDel="00000000" w:rsidP="00000000" w:rsidRDefault="00000000" w:rsidRPr="00000000" w14:paraId="0000006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Senior Unsecured: 43% average recovery</w:t>
      </w:r>
    </w:p>
    <w:p w:rsidR="00000000" w:rsidDel="00000000" w:rsidP="00000000" w:rsidRDefault="00000000" w:rsidRPr="00000000" w14:paraId="00000065">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Going-concern sales: 78% frequency</w:t>
      </w:r>
    </w:p>
    <w:p w:rsidR="00000000" w:rsidDel="00000000" w:rsidP="00000000" w:rsidRDefault="00000000" w:rsidRPr="00000000" w14:paraId="00000066">
      <w:pPr>
        <w:spacing w:after="240" w:before="240" w:lineRule="auto"/>
        <w:rPr>
          <w:b w:val="1"/>
          <w:sz w:val="24"/>
          <w:szCs w:val="24"/>
        </w:rPr>
      </w:pPr>
      <w:r w:rsidDel="00000000" w:rsidR="00000000" w:rsidRPr="00000000">
        <w:rPr>
          <w:b w:val="1"/>
          <w:sz w:val="24"/>
          <w:szCs w:val="24"/>
          <w:rtl w:val="0"/>
        </w:rPr>
        <w:t xml:space="preserve">Tier 3 General Components:</w:t>
      </w:r>
    </w:p>
    <w:p w:rsidR="00000000" w:rsidDel="00000000" w:rsidP="00000000" w:rsidRDefault="00000000" w:rsidRPr="00000000" w14:paraId="00000067">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Senior Secured: 58% average recovery</w:t>
      </w:r>
    </w:p>
    <w:p w:rsidR="00000000" w:rsidDel="00000000" w:rsidP="00000000" w:rsidRDefault="00000000" w:rsidRPr="00000000" w14:paraId="0000006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Senior Unsecured: 31% average recovery</w:t>
      </w:r>
    </w:p>
    <w:p w:rsidR="00000000" w:rsidDel="00000000" w:rsidP="00000000" w:rsidRDefault="00000000" w:rsidRPr="00000000" w14:paraId="00000069">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Going-concern sales: 52% frequency</w:t>
      </w:r>
    </w:p>
    <w:p w:rsidR="00000000" w:rsidDel="00000000" w:rsidP="00000000" w:rsidRDefault="00000000" w:rsidRPr="00000000" w14:paraId="0000006A">
      <w:pPr>
        <w:spacing w:after="240" w:before="240" w:lineRule="auto"/>
        <w:rPr>
          <w:b w:val="1"/>
          <w:sz w:val="24"/>
          <w:szCs w:val="24"/>
        </w:rPr>
      </w:pPr>
      <w:r w:rsidDel="00000000" w:rsidR="00000000" w:rsidRPr="00000000">
        <w:rPr>
          <w:b w:val="1"/>
          <w:sz w:val="24"/>
          <w:szCs w:val="24"/>
          <w:rtl w:val="0"/>
        </w:rPr>
        <w:t xml:space="preserve">Value Drivers:</w:t>
      </w:r>
    </w:p>
    <w:p w:rsidR="00000000" w:rsidDel="00000000" w:rsidP="00000000" w:rsidRDefault="00000000" w:rsidRPr="00000000" w14:paraId="0000006B">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Specialized equipment with limited alternative uses</w:t>
      </w:r>
    </w:p>
    <w:p w:rsidR="00000000" w:rsidDel="00000000" w:rsidP="00000000" w:rsidRDefault="00000000" w:rsidRPr="00000000" w14:paraId="0000006C">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Existing certifications valuable to buyers</w:t>
      </w:r>
    </w:p>
    <w:p w:rsidR="00000000" w:rsidDel="00000000" w:rsidP="00000000" w:rsidRDefault="00000000" w:rsidRPr="00000000" w14:paraId="0000006D">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Customer relationships and long-term contracts</w:t>
      </w:r>
    </w:p>
    <w:p w:rsidR="00000000" w:rsidDel="00000000" w:rsidP="00000000" w:rsidRDefault="00000000" w:rsidRPr="00000000" w14:paraId="0000006E">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Intellectual property and process knowledge</w:t>
      </w:r>
    </w:p>
    <w:p w:rsidR="00000000" w:rsidDel="00000000" w:rsidP="00000000" w:rsidRDefault="00000000" w:rsidRPr="00000000" w14:paraId="0000006F">
      <w:pPr>
        <w:pStyle w:val="Heading2"/>
        <w:keepNext w:val="0"/>
        <w:keepLines w:val="0"/>
        <w:spacing w:after="80" w:lineRule="auto"/>
        <w:rPr>
          <w:b w:val="1"/>
          <w:sz w:val="24"/>
          <w:szCs w:val="24"/>
        </w:rPr>
      </w:pPr>
      <w:bookmarkStart w:colFirst="0" w:colLast="0" w:name="_m5ptmbxpf1kj" w:id="25"/>
      <w:bookmarkEnd w:id="25"/>
      <w:r w:rsidDel="00000000" w:rsidR="00000000" w:rsidRPr="00000000">
        <w:rPr>
          <w:b w:val="1"/>
          <w:sz w:val="24"/>
          <w:szCs w:val="24"/>
          <w:rtl w:val="0"/>
        </w:rPr>
        <w:t xml:space="preserve">AeroTech Comparative Assessment</w:t>
      </w:r>
    </w:p>
    <w:p w:rsidR="00000000" w:rsidDel="00000000" w:rsidP="00000000" w:rsidRDefault="00000000" w:rsidRPr="00000000" w14:paraId="00000070">
      <w:pPr>
        <w:pStyle w:val="Heading3"/>
        <w:keepNext w:val="0"/>
        <w:keepLines w:val="0"/>
        <w:spacing w:before="280" w:lineRule="auto"/>
        <w:rPr>
          <w:b w:val="1"/>
          <w:color w:val="000000"/>
          <w:sz w:val="24"/>
          <w:szCs w:val="24"/>
        </w:rPr>
      </w:pPr>
      <w:bookmarkStart w:colFirst="0" w:colLast="0" w:name="_au2drus32syj" w:id="26"/>
      <w:bookmarkEnd w:id="26"/>
      <w:r w:rsidDel="00000000" w:rsidR="00000000" w:rsidRPr="00000000">
        <w:rPr>
          <w:b w:val="1"/>
          <w:color w:val="000000"/>
          <w:sz w:val="24"/>
          <w:szCs w:val="24"/>
          <w:rtl w:val="0"/>
        </w:rPr>
        <w:t xml:space="preserve">Positive Differentiation vs Peers:</w:t>
      </w:r>
    </w:p>
    <w:p w:rsidR="00000000" w:rsidDel="00000000" w:rsidP="00000000" w:rsidRDefault="00000000" w:rsidRPr="00000000" w14:paraId="00000071">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Revenue diversified across 47 customers (vs peer average 23)</w:t>
      </w:r>
    </w:p>
    <w:p w:rsidR="00000000" w:rsidDel="00000000" w:rsidP="00000000" w:rsidRDefault="00000000" w:rsidRPr="00000000" w14:paraId="00000072">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Commercial/defense balance 60%/40% (vs peer median 75%/25%)</w:t>
      </w:r>
    </w:p>
    <w:p w:rsidR="00000000" w:rsidDel="00000000" w:rsidP="00000000" w:rsidRDefault="00000000" w:rsidRPr="00000000" w14:paraId="00000073">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Strong operational metrics (98.2% on-time delivery)</w:t>
      </w:r>
    </w:p>
    <w:p w:rsidR="00000000" w:rsidDel="00000000" w:rsidP="00000000" w:rsidRDefault="00000000" w:rsidRPr="00000000" w14:paraId="00000074">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Conservative leverage 2.3x (vs peer average 2.8x)</w:t>
      </w:r>
    </w:p>
    <w:p w:rsidR="00000000" w:rsidDel="00000000" w:rsidP="00000000" w:rsidRDefault="00000000" w:rsidRPr="00000000" w14:paraId="00000075">
      <w:pPr>
        <w:pStyle w:val="Heading3"/>
        <w:keepNext w:val="0"/>
        <w:keepLines w:val="0"/>
        <w:spacing w:before="280" w:lineRule="auto"/>
        <w:rPr>
          <w:b w:val="1"/>
          <w:color w:val="000000"/>
          <w:sz w:val="24"/>
          <w:szCs w:val="24"/>
        </w:rPr>
      </w:pPr>
      <w:bookmarkStart w:colFirst="0" w:colLast="0" w:name="_v71eew6gqaom" w:id="27"/>
      <w:bookmarkEnd w:id="27"/>
      <w:r w:rsidDel="00000000" w:rsidR="00000000" w:rsidRPr="00000000">
        <w:rPr>
          <w:b w:val="1"/>
          <w:color w:val="000000"/>
          <w:sz w:val="24"/>
          <w:szCs w:val="24"/>
          <w:rtl w:val="0"/>
        </w:rPr>
        <w:t xml:space="preserve">Risk Factors Requiring Monitoring:</w:t>
      </w:r>
    </w:p>
    <w:p w:rsidR="00000000" w:rsidDel="00000000" w:rsidP="00000000" w:rsidRDefault="00000000" w:rsidRPr="00000000" w14:paraId="00000076">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Customer concentration 52% from top 5 (vs optimal &lt;40%)</w:t>
      </w:r>
    </w:p>
    <w:p w:rsidR="00000000" w:rsidDel="00000000" w:rsidP="00000000" w:rsidRDefault="00000000" w:rsidRPr="00000000" w14:paraId="0000007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Commercial aviation exposure during potential downturn</w:t>
      </w:r>
    </w:p>
    <w:p w:rsidR="00000000" w:rsidDel="00000000" w:rsidP="00000000" w:rsidRDefault="00000000" w:rsidRPr="00000000" w14:paraId="00000078">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Working capital management during growth phases</w:t>
      </w:r>
    </w:p>
    <w:p w:rsidR="00000000" w:rsidDel="00000000" w:rsidP="00000000" w:rsidRDefault="00000000" w:rsidRPr="00000000" w14:paraId="00000079">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Technology investment requirements</w:t>
      </w:r>
    </w:p>
    <w:p w:rsidR="00000000" w:rsidDel="00000000" w:rsidP="00000000" w:rsidRDefault="00000000" w:rsidRPr="00000000" w14:paraId="0000007A">
      <w:pPr>
        <w:spacing w:after="240" w:before="240" w:lineRule="auto"/>
        <w:rPr>
          <w:sz w:val="24"/>
          <w:szCs w:val="24"/>
        </w:rPr>
      </w:pPr>
      <w:r w:rsidDel="00000000" w:rsidR="00000000" w:rsidRPr="00000000">
        <w:rPr>
          <w:b w:val="1"/>
          <w:sz w:val="24"/>
          <w:szCs w:val="24"/>
          <w:rtl w:val="0"/>
        </w:rPr>
        <w:t xml:space="preserve">Relative Default Probability:</w:t>
      </w:r>
      <w:r w:rsidDel="00000000" w:rsidR="00000000" w:rsidRPr="00000000">
        <w:rPr>
          <w:sz w:val="24"/>
          <w:szCs w:val="24"/>
          <w:rtl w:val="0"/>
        </w:rPr>
        <w:t xml:space="preserve"> BELOW sector median for BB+ companies due to diversification and operational excellence.</w:t>
      </w:r>
    </w:p>
    <w:p w:rsidR="00000000" w:rsidDel="00000000" w:rsidP="00000000" w:rsidRDefault="00000000" w:rsidRPr="00000000" w14:paraId="0000007B">
      <w:pPr>
        <w:pStyle w:val="Heading2"/>
        <w:keepNext w:val="0"/>
        <w:keepLines w:val="0"/>
        <w:spacing w:after="80" w:lineRule="auto"/>
        <w:rPr>
          <w:b w:val="1"/>
          <w:sz w:val="24"/>
          <w:szCs w:val="24"/>
        </w:rPr>
      </w:pPr>
      <w:bookmarkStart w:colFirst="0" w:colLast="0" w:name="_f9lhlla87eim" w:id="28"/>
      <w:bookmarkEnd w:id="28"/>
      <w:r w:rsidDel="00000000" w:rsidR="00000000" w:rsidRPr="00000000">
        <w:rPr>
          <w:b w:val="1"/>
          <w:sz w:val="24"/>
          <w:szCs w:val="24"/>
          <w:rtl w:val="0"/>
        </w:rPr>
        <w:t xml:space="preserve">Forward-Looking Risk Assessment</w:t>
      </w:r>
    </w:p>
    <w:p w:rsidR="00000000" w:rsidDel="00000000" w:rsidP="00000000" w:rsidRDefault="00000000" w:rsidRPr="00000000" w14:paraId="0000007C">
      <w:pPr>
        <w:pStyle w:val="Heading3"/>
        <w:keepNext w:val="0"/>
        <w:keepLines w:val="0"/>
        <w:spacing w:before="280" w:lineRule="auto"/>
        <w:rPr>
          <w:b w:val="1"/>
          <w:color w:val="000000"/>
          <w:sz w:val="24"/>
          <w:szCs w:val="24"/>
        </w:rPr>
      </w:pPr>
      <w:bookmarkStart w:colFirst="0" w:colLast="0" w:name="_szr2zyr12khi" w:id="29"/>
      <w:bookmarkEnd w:id="29"/>
      <w:r w:rsidDel="00000000" w:rsidR="00000000" w:rsidRPr="00000000">
        <w:rPr>
          <w:b w:val="1"/>
          <w:color w:val="000000"/>
          <w:sz w:val="24"/>
          <w:szCs w:val="24"/>
          <w:rtl w:val="0"/>
        </w:rPr>
        <w:t xml:space="preserve">Structural Industry Changes:</w:t>
      </w:r>
    </w:p>
    <w:p w:rsidR="00000000" w:rsidDel="00000000" w:rsidP="00000000" w:rsidRDefault="00000000" w:rsidRPr="00000000" w14:paraId="0000007D">
      <w:pPr>
        <w:numPr>
          <w:ilvl w:val="0"/>
          <w:numId w:val="11"/>
        </w:numPr>
        <w:spacing w:after="0" w:afterAutospacing="0" w:before="240" w:lineRule="auto"/>
        <w:ind w:left="720" w:hanging="360"/>
        <w:rPr>
          <w:sz w:val="24"/>
          <w:szCs w:val="24"/>
        </w:rPr>
      </w:pPr>
      <w:r w:rsidDel="00000000" w:rsidR="00000000" w:rsidRPr="00000000">
        <w:rPr>
          <w:b w:val="1"/>
          <w:sz w:val="24"/>
          <w:szCs w:val="24"/>
          <w:rtl w:val="0"/>
        </w:rPr>
        <w:t xml:space="preserve">Supply chain regionalization:</w:t>
      </w:r>
      <w:r w:rsidDel="00000000" w:rsidR="00000000" w:rsidRPr="00000000">
        <w:rPr>
          <w:sz w:val="24"/>
          <w:szCs w:val="24"/>
          <w:rtl w:val="0"/>
        </w:rPr>
        <w:t xml:space="preserve"> Domestic sourcing preferences, higher costs but improved resilience</w:t>
      </w:r>
    </w:p>
    <w:p w:rsidR="00000000" w:rsidDel="00000000" w:rsidP="00000000" w:rsidRDefault="00000000" w:rsidRPr="00000000" w14:paraId="0000007E">
      <w:pPr>
        <w:numPr>
          <w:ilvl w:val="0"/>
          <w:numId w:val="11"/>
        </w:numPr>
        <w:spacing w:after="0" w:afterAutospacing="0" w:before="0" w:beforeAutospacing="0" w:lineRule="auto"/>
        <w:ind w:left="720" w:hanging="360"/>
        <w:rPr>
          <w:sz w:val="24"/>
          <w:szCs w:val="24"/>
        </w:rPr>
      </w:pPr>
      <w:r w:rsidDel="00000000" w:rsidR="00000000" w:rsidRPr="00000000">
        <w:rPr>
          <w:b w:val="1"/>
          <w:sz w:val="24"/>
          <w:szCs w:val="24"/>
          <w:rtl w:val="0"/>
        </w:rPr>
        <w:t xml:space="preserve">Technology transformation:</w:t>
      </w:r>
      <w:r w:rsidDel="00000000" w:rsidR="00000000" w:rsidRPr="00000000">
        <w:rPr>
          <w:sz w:val="24"/>
          <w:szCs w:val="24"/>
          <w:rtl w:val="0"/>
        </w:rPr>
        <w:t xml:space="preserve"> Additive manufacturing, digitalization requirements</w:t>
      </w:r>
    </w:p>
    <w:p w:rsidR="00000000" w:rsidDel="00000000" w:rsidP="00000000" w:rsidRDefault="00000000" w:rsidRPr="00000000" w14:paraId="0000007F">
      <w:pPr>
        <w:numPr>
          <w:ilvl w:val="0"/>
          <w:numId w:val="11"/>
        </w:numPr>
        <w:spacing w:after="240" w:before="0" w:beforeAutospacing="0" w:lineRule="auto"/>
        <w:ind w:left="720" w:hanging="360"/>
        <w:rPr>
          <w:sz w:val="24"/>
          <w:szCs w:val="24"/>
        </w:rPr>
      </w:pPr>
      <w:r w:rsidDel="00000000" w:rsidR="00000000" w:rsidRPr="00000000">
        <w:rPr>
          <w:b w:val="1"/>
          <w:sz w:val="24"/>
          <w:szCs w:val="24"/>
          <w:rtl w:val="0"/>
        </w:rPr>
        <w:t xml:space="preserve">Defense priorities:</w:t>
      </w:r>
      <w:r w:rsidDel="00000000" w:rsidR="00000000" w:rsidRPr="00000000">
        <w:rPr>
          <w:sz w:val="24"/>
          <w:szCs w:val="24"/>
          <w:rtl w:val="0"/>
        </w:rPr>
        <w:t xml:space="preserve"> Next-generation programs, modernization cycles</w:t>
      </w:r>
    </w:p>
    <w:p w:rsidR="00000000" w:rsidDel="00000000" w:rsidP="00000000" w:rsidRDefault="00000000" w:rsidRPr="00000000" w14:paraId="00000080">
      <w:pPr>
        <w:pStyle w:val="Heading3"/>
        <w:keepNext w:val="0"/>
        <w:keepLines w:val="0"/>
        <w:spacing w:before="280" w:lineRule="auto"/>
        <w:rPr>
          <w:b w:val="1"/>
          <w:color w:val="000000"/>
          <w:sz w:val="24"/>
          <w:szCs w:val="24"/>
        </w:rPr>
      </w:pPr>
      <w:bookmarkStart w:colFirst="0" w:colLast="0" w:name="_q80wi858btb9" w:id="30"/>
      <w:bookmarkEnd w:id="30"/>
      <w:r w:rsidDel="00000000" w:rsidR="00000000" w:rsidRPr="00000000">
        <w:rPr>
          <w:b w:val="1"/>
          <w:color w:val="000000"/>
          <w:sz w:val="24"/>
          <w:szCs w:val="24"/>
          <w:rtl w:val="0"/>
        </w:rPr>
        <w:t xml:space="preserve">Emerging Credit Risks:</w:t>
      </w:r>
    </w:p>
    <w:p w:rsidR="00000000" w:rsidDel="00000000" w:rsidP="00000000" w:rsidRDefault="00000000" w:rsidRPr="00000000" w14:paraId="00000081">
      <w:pPr>
        <w:numPr>
          <w:ilvl w:val="0"/>
          <w:numId w:val="22"/>
        </w:numPr>
        <w:spacing w:after="0" w:afterAutospacing="0" w:before="240" w:lineRule="auto"/>
        <w:ind w:left="720" w:hanging="360"/>
        <w:rPr>
          <w:sz w:val="24"/>
          <w:szCs w:val="24"/>
        </w:rPr>
      </w:pPr>
      <w:r w:rsidDel="00000000" w:rsidR="00000000" w:rsidRPr="00000000">
        <w:rPr>
          <w:b w:val="1"/>
          <w:sz w:val="24"/>
          <w:szCs w:val="24"/>
          <w:rtl w:val="0"/>
        </w:rPr>
        <w:t xml:space="preserve">Geopolitical/Trade:</w:t>
      </w:r>
      <w:r w:rsidDel="00000000" w:rsidR="00000000" w:rsidRPr="00000000">
        <w:rPr>
          <w:sz w:val="24"/>
          <w:szCs w:val="24"/>
          <w:rtl w:val="0"/>
        </w:rPr>
        <w:t xml:space="preserve"> Export controls, sanctions, technology transfer restrictions</w:t>
      </w:r>
    </w:p>
    <w:p w:rsidR="00000000" w:rsidDel="00000000" w:rsidP="00000000" w:rsidRDefault="00000000" w:rsidRPr="00000000" w14:paraId="00000082">
      <w:pPr>
        <w:numPr>
          <w:ilvl w:val="0"/>
          <w:numId w:val="22"/>
        </w:numPr>
        <w:spacing w:after="0" w:afterAutospacing="0" w:before="0" w:beforeAutospacing="0" w:lineRule="auto"/>
        <w:ind w:left="720" w:hanging="360"/>
        <w:rPr>
          <w:sz w:val="24"/>
          <w:szCs w:val="24"/>
        </w:rPr>
      </w:pPr>
      <w:r w:rsidDel="00000000" w:rsidR="00000000" w:rsidRPr="00000000">
        <w:rPr>
          <w:b w:val="1"/>
          <w:sz w:val="24"/>
          <w:szCs w:val="24"/>
          <w:rtl w:val="0"/>
        </w:rPr>
        <w:t xml:space="preserve">Environmental:</w:t>
      </w:r>
      <w:r w:rsidDel="00000000" w:rsidR="00000000" w:rsidRPr="00000000">
        <w:rPr>
          <w:sz w:val="24"/>
          <w:szCs w:val="24"/>
          <w:rtl w:val="0"/>
        </w:rPr>
        <w:t xml:space="preserve"> Sustainable aviation fuel mandates, emission regulations</w:t>
      </w:r>
    </w:p>
    <w:p w:rsidR="00000000" w:rsidDel="00000000" w:rsidP="00000000" w:rsidRDefault="00000000" w:rsidRPr="00000000" w14:paraId="00000083">
      <w:pPr>
        <w:numPr>
          <w:ilvl w:val="0"/>
          <w:numId w:val="22"/>
        </w:numPr>
        <w:spacing w:after="0" w:afterAutospacing="0" w:before="0" w:beforeAutospacing="0" w:lineRule="auto"/>
        <w:ind w:left="720" w:hanging="360"/>
        <w:rPr>
          <w:sz w:val="24"/>
          <w:szCs w:val="24"/>
        </w:rPr>
      </w:pPr>
      <w:r w:rsidDel="00000000" w:rsidR="00000000" w:rsidRPr="00000000">
        <w:rPr>
          <w:b w:val="1"/>
          <w:sz w:val="24"/>
          <w:szCs w:val="24"/>
          <w:rtl w:val="0"/>
        </w:rPr>
        <w:t xml:space="preserve">Technology:</w:t>
      </w:r>
      <w:r w:rsidDel="00000000" w:rsidR="00000000" w:rsidRPr="00000000">
        <w:rPr>
          <w:sz w:val="24"/>
          <w:szCs w:val="24"/>
          <w:rtl w:val="0"/>
        </w:rPr>
        <w:t xml:space="preserve"> Electric aircraft, autonomous systems, digital requirements</w:t>
      </w:r>
    </w:p>
    <w:p w:rsidR="00000000" w:rsidDel="00000000" w:rsidP="00000000" w:rsidRDefault="00000000" w:rsidRPr="00000000" w14:paraId="00000084">
      <w:pPr>
        <w:numPr>
          <w:ilvl w:val="0"/>
          <w:numId w:val="22"/>
        </w:numPr>
        <w:spacing w:after="240" w:before="0" w:beforeAutospacing="0" w:lineRule="auto"/>
        <w:ind w:left="720" w:hanging="360"/>
        <w:rPr>
          <w:sz w:val="24"/>
          <w:szCs w:val="24"/>
        </w:rPr>
      </w:pPr>
      <w:r w:rsidDel="00000000" w:rsidR="00000000" w:rsidRPr="00000000">
        <w:rPr>
          <w:b w:val="1"/>
          <w:sz w:val="24"/>
          <w:szCs w:val="24"/>
          <w:rtl w:val="0"/>
        </w:rPr>
        <w:t xml:space="preserve">Workforce:</w:t>
      </w:r>
      <w:r w:rsidDel="00000000" w:rsidR="00000000" w:rsidRPr="00000000">
        <w:rPr>
          <w:sz w:val="24"/>
          <w:szCs w:val="24"/>
          <w:rtl w:val="0"/>
        </w:rPr>
        <w:t xml:space="preserve"> Skills gap, aging workforce, talent competition</w:t>
      </w:r>
    </w:p>
    <w:p w:rsidR="00000000" w:rsidDel="00000000" w:rsidP="00000000" w:rsidRDefault="00000000" w:rsidRPr="00000000" w14:paraId="00000085">
      <w:pPr>
        <w:pStyle w:val="Heading2"/>
        <w:keepNext w:val="0"/>
        <w:keepLines w:val="0"/>
        <w:spacing w:after="80" w:lineRule="auto"/>
        <w:rPr>
          <w:b w:val="1"/>
          <w:sz w:val="24"/>
          <w:szCs w:val="24"/>
        </w:rPr>
      </w:pPr>
      <w:bookmarkStart w:colFirst="0" w:colLast="0" w:name="_gqnebtovk7bp" w:id="31"/>
      <w:bookmarkEnd w:id="31"/>
      <w:r w:rsidDel="00000000" w:rsidR="00000000" w:rsidRPr="00000000">
        <w:rPr>
          <w:b w:val="1"/>
          <w:sz w:val="24"/>
          <w:szCs w:val="24"/>
          <w:rtl w:val="0"/>
        </w:rPr>
        <w:t xml:space="preserve">Credit Analysis Implications</w:t>
      </w:r>
    </w:p>
    <w:p w:rsidR="00000000" w:rsidDel="00000000" w:rsidP="00000000" w:rsidRDefault="00000000" w:rsidRPr="00000000" w14:paraId="00000086">
      <w:pPr>
        <w:pStyle w:val="Heading3"/>
        <w:keepNext w:val="0"/>
        <w:keepLines w:val="0"/>
        <w:spacing w:before="280" w:lineRule="auto"/>
        <w:rPr>
          <w:b w:val="1"/>
          <w:color w:val="000000"/>
          <w:sz w:val="24"/>
          <w:szCs w:val="24"/>
        </w:rPr>
      </w:pPr>
      <w:bookmarkStart w:colFirst="0" w:colLast="0" w:name="_f1kybipttr7v" w:id="32"/>
      <w:bookmarkEnd w:id="32"/>
      <w:r w:rsidDel="00000000" w:rsidR="00000000" w:rsidRPr="00000000">
        <w:rPr>
          <w:b w:val="1"/>
          <w:color w:val="000000"/>
          <w:sz w:val="24"/>
          <w:szCs w:val="24"/>
          <w:rtl w:val="0"/>
        </w:rPr>
        <w:t xml:space="preserve">Enhanced Rating Considerations:</w:t>
      </w:r>
    </w:p>
    <w:p w:rsidR="00000000" w:rsidDel="00000000" w:rsidP="00000000" w:rsidRDefault="00000000" w:rsidRPr="00000000" w14:paraId="00000087">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Customer concentration limits should be &lt;40% given demonstrated risk</w:t>
      </w:r>
    </w:p>
    <w:p w:rsidR="00000000" w:rsidDel="00000000" w:rsidP="00000000" w:rsidRDefault="00000000" w:rsidRPr="00000000" w14:paraId="00000088">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Technology investment capacity becoming competitive necessity</w:t>
      </w:r>
    </w:p>
    <w:p w:rsidR="00000000" w:rsidDel="00000000" w:rsidP="00000000" w:rsidRDefault="00000000" w:rsidRPr="00000000" w14:paraId="00000089">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Quality system robustness as binary risk factor</w:t>
      </w:r>
    </w:p>
    <w:p w:rsidR="00000000" w:rsidDel="00000000" w:rsidP="00000000" w:rsidRDefault="00000000" w:rsidRPr="00000000" w14:paraId="0000008A">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Working capital management critical during growth periods</w:t>
      </w:r>
    </w:p>
    <w:p w:rsidR="00000000" w:rsidDel="00000000" w:rsidP="00000000" w:rsidRDefault="00000000" w:rsidRPr="00000000" w14:paraId="0000008B">
      <w:pPr>
        <w:pStyle w:val="Heading3"/>
        <w:keepNext w:val="0"/>
        <w:keepLines w:val="0"/>
        <w:spacing w:before="280" w:lineRule="auto"/>
        <w:rPr>
          <w:b w:val="1"/>
          <w:color w:val="000000"/>
          <w:sz w:val="24"/>
          <w:szCs w:val="24"/>
        </w:rPr>
      </w:pPr>
      <w:bookmarkStart w:colFirst="0" w:colLast="0" w:name="_lypjqjpkml2r" w:id="33"/>
      <w:bookmarkEnd w:id="33"/>
      <w:r w:rsidDel="00000000" w:rsidR="00000000" w:rsidRPr="00000000">
        <w:rPr>
          <w:b w:val="1"/>
          <w:color w:val="000000"/>
          <w:sz w:val="24"/>
          <w:szCs w:val="24"/>
          <w:rtl w:val="0"/>
        </w:rPr>
        <w:t xml:space="preserve">Key Credit Criteria for Aerospace Suppliers:</w:t>
      </w:r>
    </w:p>
    <w:p w:rsidR="00000000" w:rsidDel="00000000" w:rsidP="00000000" w:rsidRDefault="00000000" w:rsidRPr="00000000" w14:paraId="0000008C">
      <w:pPr>
        <w:numPr>
          <w:ilvl w:val="0"/>
          <w:numId w:val="12"/>
        </w:numPr>
        <w:spacing w:after="0" w:afterAutospacing="0" w:before="240" w:lineRule="auto"/>
        <w:ind w:left="720" w:hanging="360"/>
        <w:rPr>
          <w:sz w:val="24"/>
          <w:szCs w:val="24"/>
        </w:rPr>
      </w:pPr>
      <w:r w:rsidDel="00000000" w:rsidR="00000000" w:rsidRPr="00000000">
        <w:rPr>
          <w:b w:val="1"/>
          <w:sz w:val="24"/>
          <w:szCs w:val="24"/>
          <w:rtl w:val="0"/>
        </w:rPr>
        <w:t xml:space="preserve">Market Diversification:</w:t>
      </w:r>
      <w:r w:rsidDel="00000000" w:rsidR="00000000" w:rsidRPr="00000000">
        <w:rPr>
          <w:sz w:val="24"/>
          <w:szCs w:val="24"/>
          <w:rtl w:val="0"/>
        </w:rPr>
        <w:t xml:space="preserve"> Balanced commercial/defense, multiple platforms</w:t>
      </w:r>
    </w:p>
    <w:p w:rsidR="00000000" w:rsidDel="00000000" w:rsidP="00000000" w:rsidRDefault="00000000" w:rsidRPr="00000000" w14:paraId="0000008D">
      <w:pPr>
        <w:numPr>
          <w:ilvl w:val="0"/>
          <w:numId w:val="12"/>
        </w:numPr>
        <w:spacing w:after="0" w:afterAutospacing="0" w:before="0" w:beforeAutospacing="0" w:lineRule="auto"/>
        <w:ind w:left="720" w:hanging="360"/>
        <w:rPr>
          <w:sz w:val="24"/>
          <w:szCs w:val="24"/>
        </w:rPr>
      </w:pPr>
      <w:r w:rsidDel="00000000" w:rsidR="00000000" w:rsidRPr="00000000">
        <w:rPr>
          <w:b w:val="1"/>
          <w:sz w:val="24"/>
          <w:szCs w:val="24"/>
          <w:rtl w:val="0"/>
        </w:rPr>
        <w:t xml:space="preserve">Operational Excellence:</w:t>
      </w:r>
      <w:r w:rsidDel="00000000" w:rsidR="00000000" w:rsidRPr="00000000">
        <w:rPr>
          <w:sz w:val="24"/>
          <w:szCs w:val="24"/>
          <w:rtl w:val="0"/>
        </w:rPr>
        <w:t xml:space="preserve"> Superior quality, delivery, cost performance</w:t>
      </w:r>
    </w:p>
    <w:p w:rsidR="00000000" w:rsidDel="00000000" w:rsidP="00000000" w:rsidRDefault="00000000" w:rsidRPr="00000000" w14:paraId="0000008E">
      <w:pPr>
        <w:numPr>
          <w:ilvl w:val="0"/>
          <w:numId w:val="12"/>
        </w:numPr>
        <w:spacing w:after="0" w:afterAutospacing="0" w:before="0" w:beforeAutospacing="0" w:lineRule="auto"/>
        <w:ind w:left="720" w:hanging="360"/>
        <w:rPr>
          <w:sz w:val="24"/>
          <w:szCs w:val="24"/>
        </w:rPr>
      </w:pPr>
      <w:r w:rsidDel="00000000" w:rsidR="00000000" w:rsidRPr="00000000">
        <w:rPr>
          <w:b w:val="1"/>
          <w:sz w:val="24"/>
          <w:szCs w:val="24"/>
          <w:rtl w:val="0"/>
        </w:rPr>
        <w:t xml:space="preserve">Financial Strength:</w:t>
      </w:r>
      <w:r w:rsidDel="00000000" w:rsidR="00000000" w:rsidRPr="00000000">
        <w:rPr>
          <w:sz w:val="24"/>
          <w:szCs w:val="24"/>
          <w:rtl w:val="0"/>
        </w:rPr>
        <w:t xml:space="preserve"> Conservative leverage, adequate liquidity</w:t>
      </w:r>
    </w:p>
    <w:p w:rsidR="00000000" w:rsidDel="00000000" w:rsidP="00000000" w:rsidRDefault="00000000" w:rsidRPr="00000000" w14:paraId="0000008F">
      <w:pPr>
        <w:numPr>
          <w:ilvl w:val="0"/>
          <w:numId w:val="12"/>
        </w:numPr>
        <w:spacing w:after="0" w:afterAutospacing="0" w:before="0" w:beforeAutospacing="0" w:lineRule="auto"/>
        <w:ind w:left="720" w:hanging="360"/>
        <w:rPr>
          <w:sz w:val="24"/>
          <w:szCs w:val="24"/>
        </w:rPr>
      </w:pPr>
      <w:r w:rsidDel="00000000" w:rsidR="00000000" w:rsidRPr="00000000">
        <w:rPr>
          <w:b w:val="1"/>
          <w:sz w:val="24"/>
          <w:szCs w:val="24"/>
          <w:rtl w:val="0"/>
        </w:rPr>
        <w:t xml:space="preserve">Customer Relationships:</w:t>
      </w:r>
      <w:r w:rsidDel="00000000" w:rsidR="00000000" w:rsidRPr="00000000">
        <w:rPr>
          <w:sz w:val="24"/>
          <w:szCs w:val="24"/>
          <w:rtl w:val="0"/>
        </w:rPr>
        <w:t xml:space="preserve"> Deep partnerships across programs</w:t>
      </w:r>
    </w:p>
    <w:p w:rsidR="00000000" w:rsidDel="00000000" w:rsidP="00000000" w:rsidRDefault="00000000" w:rsidRPr="00000000" w14:paraId="00000090">
      <w:pPr>
        <w:numPr>
          <w:ilvl w:val="0"/>
          <w:numId w:val="12"/>
        </w:numPr>
        <w:spacing w:after="240" w:before="0" w:beforeAutospacing="0" w:lineRule="auto"/>
        <w:ind w:left="720" w:hanging="360"/>
        <w:rPr>
          <w:sz w:val="24"/>
          <w:szCs w:val="24"/>
        </w:rPr>
      </w:pPr>
      <w:r w:rsidDel="00000000" w:rsidR="00000000" w:rsidRPr="00000000">
        <w:rPr>
          <w:b w:val="1"/>
          <w:sz w:val="24"/>
          <w:szCs w:val="24"/>
          <w:rtl w:val="0"/>
        </w:rPr>
        <w:t xml:space="preserve">Technology Investment:</w:t>
      </w:r>
      <w:r w:rsidDel="00000000" w:rsidR="00000000" w:rsidRPr="00000000">
        <w:rPr>
          <w:sz w:val="24"/>
          <w:szCs w:val="24"/>
          <w:rtl w:val="0"/>
        </w:rPr>
        <w:t xml:space="preserve"> Alignment with industry evolution</w:t>
      </w:r>
    </w:p>
    <w:p w:rsidR="00000000" w:rsidDel="00000000" w:rsidP="00000000" w:rsidRDefault="00000000" w:rsidRPr="00000000" w14:paraId="00000091">
      <w:pPr>
        <w:pStyle w:val="Heading3"/>
        <w:keepNext w:val="0"/>
        <w:keepLines w:val="0"/>
        <w:spacing w:before="280" w:lineRule="auto"/>
        <w:rPr>
          <w:b w:val="1"/>
          <w:color w:val="000000"/>
          <w:sz w:val="24"/>
          <w:szCs w:val="24"/>
        </w:rPr>
      </w:pPr>
      <w:bookmarkStart w:colFirst="0" w:colLast="0" w:name="_69wt1ob18930" w:id="34"/>
      <w:bookmarkEnd w:id="34"/>
      <w:r w:rsidDel="00000000" w:rsidR="00000000" w:rsidRPr="00000000">
        <w:rPr>
          <w:b w:val="1"/>
          <w:color w:val="000000"/>
          <w:sz w:val="24"/>
          <w:szCs w:val="24"/>
          <w:rtl w:val="0"/>
        </w:rPr>
        <w:t xml:space="preserve">Success Factors from Crisis Period:</w:t>
      </w:r>
    </w:p>
    <w:p w:rsidR="00000000" w:rsidDel="00000000" w:rsidP="00000000" w:rsidRDefault="00000000" w:rsidRPr="00000000" w14:paraId="00000092">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Diversified end-market exposure</w:t>
      </w:r>
    </w:p>
    <w:p w:rsidR="00000000" w:rsidDel="00000000" w:rsidP="00000000" w:rsidRDefault="00000000" w:rsidRPr="00000000" w14:paraId="00000093">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Financial flexibility and lower leverage</w:t>
      </w:r>
    </w:p>
    <w:p w:rsidR="00000000" w:rsidDel="00000000" w:rsidP="00000000" w:rsidRDefault="00000000" w:rsidRPr="00000000" w14:paraId="00000094">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Operational agility and cost scalability</w:t>
      </w:r>
    </w:p>
    <w:p w:rsidR="00000000" w:rsidDel="00000000" w:rsidP="00000000" w:rsidRDefault="00000000" w:rsidRPr="00000000" w14:paraId="00000095">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Strong customer relationships</w:t>
      </w:r>
    </w:p>
    <w:p w:rsidR="00000000" w:rsidDel="00000000" w:rsidP="00000000" w:rsidRDefault="00000000" w:rsidRPr="00000000" w14:paraId="00000096">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Effective government program utilization</w:t>
      </w:r>
    </w:p>
    <w:p w:rsidR="00000000" w:rsidDel="00000000" w:rsidP="00000000" w:rsidRDefault="00000000" w:rsidRPr="00000000" w14:paraId="00000097">
      <w:pPr>
        <w:pStyle w:val="Heading2"/>
        <w:keepNext w:val="0"/>
        <w:keepLines w:val="0"/>
        <w:spacing w:after="80" w:lineRule="auto"/>
        <w:rPr>
          <w:b w:val="1"/>
          <w:sz w:val="24"/>
          <w:szCs w:val="24"/>
        </w:rPr>
      </w:pPr>
      <w:bookmarkStart w:colFirst="0" w:colLast="0" w:name="_64lrj08toqr7" w:id="35"/>
      <w:bookmarkEnd w:id="35"/>
      <w:r w:rsidDel="00000000" w:rsidR="00000000" w:rsidRPr="00000000">
        <w:rPr>
          <w:b w:val="1"/>
          <w:sz w:val="24"/>
          <w:szCs w:val="24"/>
          <w:rtl w:val="0"/>
        </w:rPr>
        <w:t xml:space="preserve">Conclusion</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Aerospace manufacturing demonstrates clear credit differentiation between diversified, operationally excellent companies and concentrated, leveraged players. Companies like AeroTech with balanced exposure, strong operations, and conservative finances exhibit materially lower default risk than sector averages.</w:t>
      </w:r>
    </w:p>
    <w:p w:rsidR="00000000" w:rsidDel="00000000" w:rsidP="00000000" w:rsidRDefault="00000000" w:rsidRPr="00000000" w14:paraId="00000099">
      <w:pPr>
        <w:spacing w:after="240" w:before="240" w:lineRule="auto"/>
        <w:rPr>
          <w:b w:val="1"/>
          <w:sz w:val="24"/>
          <w:szCs w:val="24"/>
        </w:rPr>
      </w:pPr>
      <w:r w:rsidDel="00000000" w:rsidR="00000000" w:rsidRPr="00000000">
        <w:rPr>
          <w:b w:val="1"/>
          <w:sz w:val="24"/>
          <w:szCs w:val="24"/>
          <w:rtl w:val="0"/>
        </w:rPr>
        <w:t xml:space="preserve">Key Takeaways:</w:t>
      </w:r>
    </w:p>
    <w:p w:rsidR="00000000" w:rsidDel="00000000" w:rsidP="00000000" w:rsidRDefault="00000000" w:rsidRPr="00000000" w14:paraId="0000009A">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Customer concentration represents the primary default driver (31% of cases)</w:t>
      </w:r>
    </w:p>
    <w:p w:rsidR="00000000" w:rsidDel="00000000" w:rsidP="00000000" w:rsidRDefault="00000000" w:rsidRPr="00000000" w14:paraId="0000009B">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Operational excellence and quality systems are critical for survival</w:t>
      </w:r>
    </w:p>
    <w:p w:rsidR="00000000" w:rsidDel="00000000" w:rsidP="00000000" w:rsidRDefault="00000000" w:rsidRPr="00000000" w14:paraId="0000009C">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Diversified commercial/defense exposure provides superior stability</w:t>
      </w:r>
    </w:p>
    <w:p w:rsidR="00000000" w:rsidDel="00000000" w:rsidP="00000000" w:rsidRDefault="00000000" w:rsidRPr="00000000" w14:paraId="0000009D">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Financial flexibility enables navigation of cyclical downturns</w:t>
      </w:r>
    </w:p>
    <w:p w:rsidR="00000000" w:rsidDel="00000000" w:rsidP="00000000" w:rsidRDefault="00000000" w:rsidRPr="00000000" w14:paraId="0000009E">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Technology investment capability becoming competitive necessity</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The sector outlook remains constructive for well-positioned suppliers, supported by long-term demand growth and defense modernization, though credit analysis must incorporate evolving risk factors including geopolitical tensions, environmental regulations, and technological disruption.</w:t>
      </w:r>
    </w:p>
    <w:p w:rsidR="00000000" w:rsidDel="00000000" w:rsidP="00000000" w:rsidRDefault="00000000" w:rsidRPr="00000000" w14:paraId="000000A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sz w:val="24"/>
          <w:szCs w:val="24"/>
        </w:rPr>
      </w:pPr>
      <w:r w:rsidDel="00000000" w:rsidR="00000000" w:rsidRPr="00000000">
        <w:rPr>
          <w:i w:val="1"/>
          <w:sz w:val="24"/>
          <w:szCs w:val="24"/>
          <w:rtl w:val="0"/>
        </w:rPr>
        <w:t xml:space="preserve">Note: This analysis contains synthetic data for demonstration purposes only. All companies and statistics are fictional.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