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McKinsey Technology Trends Outlook 2025 — Investor Summary</w:t>
      </w:r>
    </w:p>
    <w:p>
      <w:pPr>
        <w:pStyle w:val="Heading2"/>
      </w:pPr>
      <w:r>
        <w:t>1. Macro View: Frontier Technologies Re-Shaping Global Competition</w:t>
      </w:r>
    </w:p>
    <w:p>
      <w:r>
        <w:t>McKinsey identifies 13 frontier technology trends across three clusters:</w:t>
        <w:br/>
        <w:br/>
        <w:t>- AI Revolution: Agentic AI and Artificial Intelligence.</w:t>
        <w:br/>
        <w:t>- Compute &amp; Connectivity Frontiers: Semiconductors, connectivity, cloud/edge, immersive reality, cybersecurity, quantum.</w:t>
        <w:br/>
        <w:t>- Cutting-Edge Engineering: Robotics, mobility, bioengineering, space, and energy/sustainability technologies.</w:t>
        <w:br/>
        <w:br/>
        <w:t>Cross-cutting Themes:</w:t>
        <w:br/>
        <w:t>- AI as a force multiplier – AI amplifies every other technology—accelerating robotics training, optimizing energy grids, and advancing bioengineering.</w:t>
        <w:br/>
        <w:t>- Autonomy surge – Systems (robots + agents) are learning, adapting, and collaborating; moving from pilot to production.</w:t>
        <w:br/>
        <w:t>- Scaling constraints – Compute intensity, grid power, and supply-chain frictions are emerging macro bottlenecks.</w:t>
        <w:br/>
        <w:t>- Geo-tech rivalry – Nations are localizing chip fabs and AI infrastructure for strategic control.</w:t>
        <w:br/>
        <w:t>- Responsible innovation – Transparency, fairness, and governance are gating factors for adoption and valuations.</w:t>
        <w:br/>
        <w:br/>
        <w:t>Investment Pulse:</w:t>
        <w:br/>
        <w:t>After a dip in 2023, equity investment rebounded across 10 of 13 trends in 2024. Top investment magnets include Future of Energy &amp; Sustainability and Mobility ($250B+), Artificial Intelligence ($124B, +35% YoY), Cloud &amp; Edge Computing (steady growth), and Agentic AI ($1.1B on +985% job-post growth). The investment climate favors technologies with clear commercial use cases and infrastructure readiness, particularly those aligned with AI scalability.</w:t>
        <w:br/>
      </w:r>
    </w:p>
    <w:p>
      <w:pPr>
        <w:pStyle w:val="Heading2"/>
      </w:pPr>
      <w:r>
        <w:t>2. The AI Revolution</w:t>
      </w:r>
    </w:p>
    <w:p>
      <w:r>
        <w:t>A. Agentic AI</w:t>
        <w:br/>
        <w:t>Definition: Foundation-model-based agents that autonomously plan and execute multistep tasks—effectively “virtual coworkers.”</w:t>
        <w:br/>
        <w:t>Why It Matters: Moves AI from passive assistance to active collaboration within enterprise workflows.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2024 Value</w:t>
            </w:r>
          </w:p>
        </w:tc>
        <w:tc>
          <w:tcPr>
            <w:tcW w:type="dxa" w:w="2880"/>
          </w:tcPr>
          <w:p>
            <w:r>
              <w:t>YoY Trend</w:t>
            </w:r>
          </w:p>
        </w:tc>
      </w:tr>
      <w:tr>
        <w:tc>
          <w:tcPr>
            <w:tcW w:type="dxa" w:w="2880"/>
          </w:tcPr>
          <w:p>
            <w:r>
              <w:t>Equity Investment</w:t>
            </w:r>
          </w:p>
        </w:tc>
        <w:tc>
          <w:tcPr>
            <w:tcW w:type="dxa" w:w="2880"/>
          </w:tcPr>
          <w:p>
            <w:r>
              <w:t>$1.1B</w:t>
            </w:r>
          </w:p>
        </w:tc>
        <w:tc>
          <w:tcPr>
            <w:tcW w:type="dxa" w:w="2880"/>
          </w:tcPr>
          <w:p>
            <w:r>
              <w:t>Rapid from small base</w:t>
            </w:r>
          </w:p>
        </w:tc>
      </w:tr>
      <w:tr>
        <w:tc>
          <w:tcPr>
            <w:tcW w:type="dxa" w:w="2880"/>
          </w:tcPr>
          <w:p>
            <w:r>
              <w:t>Job Postings</w:t>
            </w:r>
          </w:p>
        </w:tc>
        <w:tc>
          <w:tcPr>
            <w:tcW w:type="dxa" w:w="2880"/>
          </w:tcPr>
          <w:p>
            <w:r>
              <w:t>+985% (2023–24)</w:t>
            </w:r>
          </w:p>
        </w:tc>
        <w:tc>
          <w:tcPr>
            <w:tcW w:type="dxa" w:w="2880"/>
          </w:tcPr>
          <w:p>
            <w:r>
              <w:t>Fastest among all trends</w:t>
            </w:r>
          </w:p>
        </w:tc>
      </w:tr>
      <w:tr>
        <w:tc>
          <w:tcPr>
            <w:tcW w:type="dxa" w:w="2880"/>
          </w:tcPr>
          <w:p>
            <w:r>
              <w:t>Adoption</w:t>
            </w:r>
          </w:p>
        </w:tc>
        <w:tc>
          <w:tcPr>
            <w:tcW w:type="dxa" w:w="2880"/>
          </w:tcPr>
          <w:p>
            <w:r>
              <w:t>Stage 2 – Experimentation</w:t>
            </w:r>
          </w:p>
        </w:tc>
        <w:tc>
          <w:tcPr>
            <w:tcW w:type="dxa" w:w="2880"/>
          </w:tcPr>
          <w:p>
            <w:r>
              <w:t>Poised for breakout</w:t>
            </w:r>
          </w:p>
        </w:tc>
      </w:tr>
    </w:tbl>
    <w:p>
      <w:r>
        <w:br/>
        <w:t>Use Cases:</w:t>
        <w:br/>
        <w:t>- McKinsey QuantumBlack increased credit analyst productivity by 60%.</w:t>
        <w:br/>
        <w:t>- Darktrace autonomous cybersecurity.</w:t>
        <w:br/>
        <w:t>- Salesforce Agentforce workflow automation.</w:t>
        <w:br/>
        <w:t>- Cursor and Manus AI automating code development.</w:t>
        <w:br/>
        <w:br/>
        <w:t>Technology Stack:</w:t>
        <w:br/>
        <w:t>ML &amp; NLP → Reasoning models → Integration layers (LangChain, Pinecone) → Observability tools (LangSmith).</w:t>
        <w:br/>
        <w:br/>
        <w:t>Risks &amp; Opportunities:</w:t>
        <w:br/>
        <w:t>Governance and liability frameworks are nascent; early entry in orchestration and observability layers offers high potential upside.</w:t>
        <w:br/>
      </w:r>
    </w:p>
    <w:p>
      <w:r>
        <w:t>B. Artificial Intelligence</w:t>
        <w:br/>
        <w:t>Definition: Cognitive systems spanning generative, analytical, and agentic AI.</w:t>
        <w:br/>
        <w:t>Adoption: 78% of firms use AI; 92% plan to increase spend.</w:t>
        <w:br/>
        <w:t>Investment: $124.3B (+35% YoY); Q1 2025 = $52B raised; hyperscalers to spend $70–100B+ each.</w:t>
        <w:br/>
        <w:t>Trends: Small-model explosion, multimodal AI (Claude 4, Gemini 2.5, GPT-4.1), reasoning and deep research, Responsible AI compliance (California AI Act 2026).</w:t>
        <w:br/>
        <w:t>Regionalization: Sovereign AI in EU and Asia; localization driving AI infrastructure.</w:t>
        <w:br/>
        <w:t>Investment Implication: High near-term ROI in AI applications; long-duration potential in hardware and reasoning models.</w:t>
        <w:br/>
      </w:r>
    </w:p>
    <w:p>
      <w:pPr>
        <w:pStyle w:val="Heading2"/>
      </w:pPr>
      <w:r>
        <w:t>3. Compute &amp; Connectivity Frontiers</w:t>
      </w:r>
    </w:p>
    <w:p>
      <w:r>
        <w:t>Application-Specific Semiconductors: Innovation surge driven by AI compute demand; new entrants (Gaudi, RISC-V).</w:t>
        <w:br/>
        <w:t>Cloud &amp; Edge Computing: +48% 2024 growth; hybrid, localized architectures rising.</w:t>
        <w:br/>
        <w:t>Connectivity &amp; Cybersecurity: LEO satellites, AI-native security automation.</w:t>
        <w:br/>
        <w:t>Quantum Technologies: Transformative long-term potential; commercialization horizon &gt;5 years.</w:t>
        <w:br/>
      </w:r>
    </w:p>
    <w:p>
      <w:pPr>
        <w:pStyle w:val="Heading2"/>
      </w:pPr>
      <w:r>
        <w:t>4. Cutting-Edge Engineering: Physical Frontiers</w:t>
      </w:r>
    </w:p>
    <w:p>
      <w:r>
        <w:t>Robotics &amp; Mobility: Autonomous systems move from pilot to deployment.</w:t>
        <w:br/>
        <w:t>Bioengineering: AI-driven drug design (AlphaFold 3) reshaping pharma R&amp;D.</w:t>
        <w:br/>
        <w:t>Space: Satellite and orbital data services expanding for connectivity and climate monitoring.</w:t>
        <w:br/>
        <w:t>Energy &amp; Sustainability: 2024 rebound; microgrids, renewables, carbon capture lead investment.</w:t>
        <w:br/>
      </w:r>
    </w:p>
    <w:p>
      <w:pPr>
        <w:pStyle w:val="Heading2"/>
      </w:pPr>
      <w:r>
        <w:t>5. Investment Takeaways (2025–2030 Horizon)</w:t>
      </w:r>
    </w:p>
    <w:p>
      <w:r>
        <w:t>Sector Outlook: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Sector</w:t>
            </w:r>
          </w:p>
        </w:tc>
        <w:tc>
          <w:tcPr>
            <w:tcW w:type="dxa" w:w="2160"/>
          </w:tcPr>
          <w:p>
            <w:r>
              <w:t>Maturity</w:t>
            </w:r>
          </w:p>
        </w:tc>
        <w:tc>
          <w:tcPr>
            <w:tcW w:type="dxa" w:w="2160"/>
          </w:tcPr>
          <w:p>
            <w:r>
              <w:t>Growth Outlook</w:t>
            </w:r>
          </w:p>
        </w:tc>
        <w:tc>
          <w:tcPr>
            <w:tcW w:type="dxa" w:w="2160"/>
          </w:tcPr>
          <w:p>
            <w:r>
              <w:t>Key Investor Signal</w:t>
            </w:r>
          </w:p>
        </w:tc>
      </w:tr>
      <w:tr>
        <w:tc>
          <w:tcPr>
            <w:tcW w:type="dxa" w:w="2160"/>
          </w:tcPr>
          <w:p>
            <w:r>
              <w:t>Agentic AI</w:t>
            </w:r>
          </w:p>
        </w:tc>
        <w:tc>
          <w:tcPr>
            <w:tcW w:type="dxa" w:w="2160"/>
          </w:tcPr>
          <w:p>
            <w:r>
              <w:t>2 – Experimentation</w:t>
            </w:r>
          </w:p>
        </w:tc>
        <w:tc>
          <w:tcPr>
            <w:tcW w:type="dxa" w:w="2160"/>
          </w:tcPr>
          <w:p>
            <w:r>
              <w:t>Explosive short-term</w:t>
            </w:r>
          </w:p>
        </w:tc>
        <w:tc>
          <w:tcPr>
            <w:tcW w:type="dxa" w:w="2160"/>
          </w:tcPr>
          <w:p>
            <w:r>
              <w:t>Early-stage automation ecosystem</w:t>
            </w:r>
          </w:p>
        </w:tc>
      </w:tr>
      <w:tr>
        <w:tc>
          <w:tcPr>
            <w:tcW w:type="dxa" w:w="2160"/>
          </w:tcPr>
          <w:p>
            <w:r>
              <w:t>General AI &amp; LLMs</w:t>
            </w:r>
          </w:p>
        </w:tc>
        <w:tc>
          <w:tcPr>
            <w:tcW w:type="dxa" w:w="2160"/>
          </w:tcPr>
          <w:p>
            <w:r>
              <w:t>4 – Scaling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Platform consolidation; infra and governance plays</w:t>
            </w:r>
          </w:p>
        </w:tc>
      </w:tr>
      <w:tr>
        <w:tc>
          <w:tcPr>
            <w:tcW w:type="dxa" w:w="2160"/>
          </w:tcPr>
          <w:p>
            <w:r>
              <w:t>Semiconductors (ASIC/HBM)</w:t>
            </w:r>
          </w:p>
        </w:tc>
        <w:tc>
          <w:tcPr>
            <w:tcW w:type="dxa" w:w="2160"/>
          </w:tcPr>
          <w:p>
            <w:r>
              <w:t>3 – Piloting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Energy-efficient chip innovation</w:t>
            </w:r>
          </w:p>
        </w:tc>
      </w:tr>
      <w:tr>
        <w:tc>
          <w:tcPr>
            <w:tcW w:type="dxa" w:w="2160"/>
          </w:tcPr>
          <w:p>
            <w:r>
              <w:t>Cloud / Edge Infra</w:t>
            </w:r>
          </w:p>
        </w:tc>
        <w:tc>
          <w:tcPr>
            <w:tcW w:type="dxa" w:w="2160"/>
          </w:tcPr>
          <w:p>
            <w:r>
              <w:t>5 – Scaled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Yield play on AI compute demand</w:t>
            </w:r>
          </w:p>
        </w:tc>
      </w:tr>
      <w:tr>
        <w:tc>
          <w:tcPr>
            <w:tcW w:type="dxa" w:w="2160"/>
          </w:tcPr>
          <w:p>
            <w:r>
              <w:t>Energy &amp; Sustainability Tech</w:t>
            </w:r>
          </w:p>
        </w:tc>
        <w:tc>
          <w:tcPr>
            <w:tcW w:type="dxa" w:w="2160"/>
          </w:tcPr>
          <w:p>
            <w:r>
              <w:t>3–4</w:t>
            </w:r>
          </w:p>
        </w:tc>
        <w:tc>
          <w:tcPr>
            <w:tcW w:type="dxa" w:w="2160"/>
          </w:tcPr>
          <w:p>
            <w:r>
              <w:t>High medium-term</w:t>
            </w:r>
          </w:p>
        </w:tc>
        <w:tc>
          <w:tcPr>
            <w:tcW w:type="dxa" w:w="2160"/>
          </w:tcPr>
          <w:p>
            <w:r>
              <w:t>Policy-backed, infrastructure-linked returns</w:t>
            </w:r>
          </w:p>
        </w:tc>
      </w:tr>
      <w:tr>
        <w:tc>
          <w:tcPr>
            <w:tcW w:type="dxa" w:w="2160"/>
          </w:tcPr>
          <w:p>
            <w:r>
              <w:t>Quantum &amp; Space</w:t>
            </w:r>
          </w:p>
        </w:tc>
        <w:tc>
          <w:tcPr>
            <w:tcW w:type="dxa" w:w="2160"/>
          </w:tcPr>
          <w:p>
            <w:r>
              <w:t>1–2</w:t>
            </w:r>
          </w:p>
        </w:tc>
        <w:tc>
          <w:tcPr>
            <w:tcW w:type="dxa" w:w="2160"/>
          </w:tcPr>
          <w:p>
            <w:r>
              <w:t>Long-term optionality</w:t>
            </w:r>
          </w:p>
        </w:tc>
        <w:tc>
          <w:tcPr>
            <w:tcW w:type="dxa" w:w="2160"/>
          </w:tcPr>
          <w:p>
            <w:r>
              <w:t>Frontier capital plays with government involvement</w:t>
            </w:r>
          </w:p>
        </w:tc>
      </w:tr>
    </w:tbl>
    <w:p>
      <w:r>
        <w:br/>
        <w:t>Strategic Positioning:</w:t>
        <w:br/>
        <w:t>1. AI Core Stack Investments – models, agents, and hardware integration.</w:t>
        <w:br/>
        <w:t>2. Infrastructure Enablers – semiconductors, cloud/edge, sustainable grids.</w:t>
        <w:br/>
        <w:t>3. Applied AI Industrials – robotics, mobility, and bioengineering.</w:t>
        <w:br/>
        <w:t>4. Governance &amp; Trust – cybersecurity, AI ethics, and data provenance.</w:t>
        <w:br/>
        <w:br/>
        <w:t>Conclusion:</w:t>
        <w:br/>
        <w:t>The 2025 landscape marks an AI-anchored reordering of capital flows.</w:t>
        <w:br/>
        <w:t>Agentic AI and domain-specific models accelerate adoption; compute and energy bottlenecks emerge as constraints.</w:t>
        <w:br/>
        <w:t>Near-term opportunity lies in AI stack and enablers, while sustainability and quantum offer long-term upside.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