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k88fkr1fm815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Aerospace Manufacturing Sector - Market Research 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Sovereign Risk Analytics | October 2024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5l9diiol3ufw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aerospace manufacturing sector shows robust recovery momentum driven by commercial aviation normalization, defense modernization, and sustainable aviation technology development. Well-positioned Tier 2 suppliers like AeroTech are poised for sustained growth through 2027.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Sector Recommendation:</w:t>
      </w:r>
      <w:r w:rsidDel="00000000" w:rsidR="00000000" w:rsidRPr="00000000">
        <w:rPr>
          <w:sz w:val="24"/>
          <w:szCs w:val="24"/>
          <w:rtl w:val="0"/>
        </w:rPr>
        <w:t xml:space="preserve"> Overweight based on strong demand fundamentals, limited capacity additions, and defensive cash flow characteristics.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sqhs5xjwtmy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Market Fundamentals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 Size &amp; Growth (2024E):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addressable market: $874B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aviation: $518B (59%), growing 9.2% CAGR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Defense &amp; space: $298B (34%), growing 6.8% CAGR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sector CAGR 2024-2027: 8.4%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Geographic Distribution: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North America: 42% of production value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Europe: 31%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Asia-Pacific: 21%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ebb6zrok5qdh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Commercial Aviation Recovery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Traffic Normalization: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passenger traffic: 102% of 2019 levels (September 2024)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Domestic travel: 108% of pre-pandemic baseline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International travel: 98% of 2019 levels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travel: 87% (permanent structural reduction)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Production Status: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 projected deliveries: 1,850 commercial aircraft (+15% YoY)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Boeing 737 MAX: 42 aircraft/month (targeting 50 by mid-2025)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Airbus A320neo: 65 aircraft/month (increasing to 75 by 2026)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Airline Financial Health: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 net profit margin: 3.1% (2024E vs -1.8% in 2022)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factors: 82.4% (approaching optimal 85%)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CapEx resumption for fleet modernization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sg60238zckns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Defense Market Stability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U.S. Defense Budget (FY2025):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Total: $886B (+4.1% YoY)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Aircraft procurement: $58.2B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R&amp;D: $139.8B (record level)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Programs: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F-35: 156 aircraft annually, international expansion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B-21 Raider: Low-rate production commenced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KC-46 Tanker: Production increases for international orders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vn51mpu09two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Supply Chain Transformation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Regionalization Trends: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34% of companies increasing domestic supplier usage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localization: 65% (vs 52% in 2019)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Government incentives supporting domestic capabilities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Adoption: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twin technology: 67% of major suppliers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 supply chain tracking expanding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inventory management optimizing working capital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2nge0u5ldck6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Technology Disruption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Sustainable Aviation: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Net-zero emissions commitment by 2050 driving investment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Sustainable Aviation Fuels: 500M gallons annually, targeting 3B by 2030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mandates: 2% SAF by 2025, 20% by 2035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Emerging Segments: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Urban Air Mobility: $52B market by 2030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space: $18.5B launch market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MRO market: $127B (aftermarket 65% of supplier lifetime value)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Advanced Manufacturing: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Additive manufacturing: 40% using production parts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Carbon fiber composites: 23% weight reduction vs aluminum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 recycling: 65% waste reduction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g3z2oz8sgjb3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Financial Performance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2024 Sector Metrics: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Median EBITDA margin: 15.8%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quartile EBITDA: 22.1%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growth median: +11.2%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on assets: 8.7% (vs 6.1% in 2022)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Working Capital: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 conversion cycle: 111 days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Days sales outstanding: 58 days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days: 95 days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Capital Intensity: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CapEx: 4.2% of revenue median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R&amp;D investment: 3.1% of revenue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8zd74hd8d7rk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Investment Thesis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Bull Case Factors: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Structural commercial aviation recovery with long-term growth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supplier capacity creating pricing power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Defense spending diversification and stability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premiums for advanced manufacturing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 share gains through competitor consolidation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gtlwfbmhaq4h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Risk Factors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Operational Challenges: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Skilled labor shortage: 2.1M aerospace jobs projected unfilled by 2030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 chain complexity: 15,000+ parts per aircraft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Zero-defect quality requirements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Regulatory compliance costs increasing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 Vulnerabilities: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Economic sensitivity of commercial aviation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concentration (limited OEM base)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capital intensity from long production cycles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Commodity price volatility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suuqvzeku18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Investment Strategy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Portfolio Positioning: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Overweight:</w:t>
      </w:r>
      <w:r w:rsidDel="00000000" w:rsidR="00000000" w:rsidRPr="00000000">
        <w:rPr>
          <w:sz w:val="24"/>
          <w:szCs w:val="24"/>
          <w:rtl w:val="0"/>
        </w:rPr>
        <w:t xml:space="preserve"> Diversified commercial/defense suppliers with operational excellence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Neutral:</w:t>
      </w:r>
      <w:r w:rsidDel="00000000" w:rsidR="00000000" w:rsidRPr="00000000">
        <w:rPr>
          <w:sz w:val="24"/>
          <w:szCs w:val="24"/>
          <w:rtl w:val="0"/>
        </w:rPr>
        <w:t xml:space="preserve"> Mature program suppliers without next-generation positioning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Underweight:</w:t>
      </w:r>
      <w:r w:rsidDel="00000000" w:rsidR="00000000" w:rsidRPr="00000000">
        <w:rPr>
          <w:sz w:val="24"/>
          <w:szCs w:val="24"/>
          <w:rtl w:val="0"/>
        </w:rPr>
        <w:t xml:space="preserve"> High leverage, concentrated, or technology-obsolescent companies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Selection Criteria: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 position in growing aircraft platforms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excellence (quality, delivery, cost)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strength and conservative leverage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investment aligned with industry evolution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Experienced management with proven execution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epw39a36tpfp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AeroTech Manufacturing Assessment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Competitive Advantages: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Diversified commercial (60%) / defense (35%) exposure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operational metrics and customer relationships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 contract awards demonstrating market confidence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Conservative financial profile supporting growth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Strategic Positioning: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 components benefiting from narrow-body production increases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Avionics capabilities aligned with modernization trends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Geographic positioning in aerospace clusters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investments for next-generation programs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Success Factors: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program ramp execution without quality issues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Continued operational efficiency improvements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customer relationship management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 capital allocation (growth vs debt reduction)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9cgabj77nzgh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Outlook Through 2027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Growth Drivers: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production rate increases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Defense modernization program stability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 chain consolidation improving pricing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advancement creating differentiation opportunities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Monitoring Factors: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economic conditions affecting air travel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Geopolitical impacts on defense spending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disruption threats/opportunities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regulation cost impacts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 chain disruption risks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Aerospace manufacturing offers attractive opportunities for well-positioned suppliers, with structural recovery momentum, limited capacity, and technology transformation creating value for companies with operational excellence and strategic positioning.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Note: This analysis contains synthetic data for demonstration purposes only. All companies and statistics are fictional.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