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6392" w14:textId="77777777" w:rsidR="00C82C69" w:rsidRDefault="00C82C69" w:rsidP="00C82C69">
      <w:pPr>
        <w:pStyle w:val="NormalWeb"/>
      </w:pPr>
      <w:r>
        <w:rPr>
          <w:b/>
          <w:bCs/>
          <w:cs/>
        </w:rPr>
        <w:t>หลักการและเหตุผล: ทำไมต้องมีแบบประเมินและจัดกลุ่มองค์กรผู้ใช้น้ำ</w:t>
      </w:r>
    </w:p>
    <w:p w14:paraId="7BB08E6F" w14:textId="77777777" w:rsidR="00C82C69" w:rsidRDefault="00C82C69" w:rsidP="00C82C69">
      <w:pPr>
        <w:pStyle w:val="NormalWeb"/>
      </w:pPr>
      <w:r>
        <w:rPr>
          <w:cs/>
        </w:rPr>
        <w:t xml:space="preserve">นับตั้งแต่พระราชบัญญัติทรัพยากรน้ำ พ.ศ. </w:t>
      </w:r>
      <w:r>
        <w:t xml:space="preserve">2561 </w:t>
      </w:r>
      <w:r>
        <w:rPr>
          <w:cs/>
        </w:rPr>
        <w:t>มีผลบังคับใช้ สำนักงานทรัพยากรน้ำแห่งชาติ (สนทช.) ได้ผลักดันให้เกิดการขึ้นทะเบียนองค์กรผู้ใช้น้ำทั่วประเทศหลายพันกลุ่ม ทว่าในทางปฏิบัติกลับพบความเหลื่อมล้ำเชิงศักยภาพอย่างชัดเจน:</w:t>
      </w:r>
    </w:p>
    <w:p w14:paraId="3F553395" w14:textId="77777777" w:rsidR="00C82C69" w:rsidRDefault="00C82C69" w:rsidP="00C82C69">
      <w:pPr>
        <w:pStyle w:val="NormalWeb"/>
        <w:numPr>
          <w:ilvl w:val="0"/>
          <w:numId w:val="1"/>
        </w:numPr>
      </w:pPr>
      <w:r>
        <w:rPr>
          <w:b/>
          <w:bCs/>
          <w:cs/>
        </w:rPr>
        <w:t>ภาวะองค์กรบนกระดาษ (</w:t>
      </w:r>
      <w:r>
        <w:rPr>
          <w:b/>
          <w:bCs/>
        </w:rPr>
        <w:t>Paper Organizations):</w:t>
      </w:r>
      <w:r>
        <w:t xml:space="preserve"> </w:t>
      </w:r>
      <w:r>
        <w:rPr>
          <w:cs/>
        </w:rPr>
        <w:t xml:space="preserve">หลายกลุ่มมีรายชื่อครบ </w:t>
      </w:r>
      <w:r>
        <w:t xml:space="preserve">30 </w:t>
      </w:r>
      <w:r>
        <w:rPr>
          <w:cs/>
        </w:rPr>
        <w:t>คนตามเกณฑ์กฎหมาย แต่หยุดการเคลื่อนไหวทันทีหลังได้ใบรับรอง ขาดการประชุมและไม่มีกิจกรรมจริง การรวมกลุ่มไม่ได้เกิดจากความต้องการร่วมของชุมชน แต่เกิดจากการขับเคลื่อนเชิงธุรการเพื่อให้ครบตามเป้าหมายของภาครัฐ</w:t>
      </w:r>
    </w:p>
    <w:p w14:paraId="42A8AD53" w14:textId="77777777" w:rsidR="00C82C69" w:rsidRDefault="00C82C69" w:rsidP="00C82C69">
      <w:pPr>
        <w:pStyle w:val="NormalWeb"/>
        <w:numPr>
          <w:ilvl w:val="0"/>
          <w:numId w:val="1"/>
        </w:numPr>
      </w:pPr>
      <w:r>
        <w:rPr>
          <w:b/>
          <w:bCs/>
          <w:cs/>
        </w:rPr>
        <w:t>นโยบายตัดเสื้อโหล (</w:t>
      </w:r>
      <w:r>
        <w:rPr>
          <w:b/>
          <w:bCs/>
        </w:rPr>
        <w:t>One-Size-Fits-All):</w:t>
      </w:r>
      <w:r>
        <w:t xml:space="preserve"> </w:t>
      </w:r>
      <w:r>
        <w:rPr>
          <w:cs/>
        </w:rPr>
        <w:t>ภาครัฐและองค์กรปกครองส่วนท้องถิ่นมักจัดสรรงบประมาณ การฝึกอบรม หรือสนับสนุนเครื่องมือลงพื้นที่ในรูปแบบเดียวกันทั้งหมด โดยไม่ทราบสถานะความพร้อมและขีดความสามารถที่แท้จริง ส่งผลให้การจัดสรรงบประมาณไม่คุ้มค่า ไม่ตอบสนองต่อปัญหาเฉพาะจุด และไม่เกิดการพัฒนาที่ตรงเป้า</w:t>
      </w:r>
    </w:p>
    <w:p w14:paraId="5C0E2CF5" w14:textId="77777777" w:rsidR="00C82C69" w:rsidRDefault="00C82C69" w:rsidP="00C82C69">
      <w:pPr>
        <w:pStyle w:val="NormalWeb"/>
        <w:numPr>
          <w:ilvl w:val="0"/>
          <w:numId w:val="1"/>
        </w:numPr>
      </w:pPr>
      <w:r>
        <w:rPr>
          <w:b/>
          <w:bCs/>
          <w:cs/>
        </w:rPr>
        <w:t>ความเสี่ยงต่อการพึ่งพาตัวบุคคล (</w:t>
      </w:r>
      <w:r>
        <w:rPr>
          <w:b/>
          <w:bCs/>
        </w:rPr>
        <w:t>Single-Leader Vulnerability):</w:t>
      </w:r>
      <w:r>
        <w:t xml:space="preserve"> </w:t>
      </w:r>
      <w:r>
        <w:rPr>
          <w:cs/>
        </w:rPr>
        <w:t>หลายกลุ่มขับเคลื่อนด้วยบารมีหรือความสามารถเฉพาะตัวของผู้นำเพียงคนเดียว ขาดโครงสร้างคณะกรรมการที่ทำงานได้จริง ขาดการจัดทำระบบข้อมูล บัญชี และกติกาที่เป็นสถาบัน เมื่อผู้นำพ้นตำแหน่ง เจ็บป่วย หรือหมดวาระ กลุ่มจะหยุดชะงักและล่มสลายลงทันที ขาดความยั่งยืนในระยะยาว</w:t>
      </w:r>
    </w:p>
    <w:p w14:paraId="26DF8ABF" w14:textId="77777777" w:rsidR="00C82C69" w:rsidRDefault="00C82C69" w:rsidP="00C82C69">
      <w:pPr>
        <w:pStyle w:val="NormalWeb"/>
      </w:pPr>
      <w:r>
        <w:rPr>
          <w:cs/>
        </w:rPr>
        <w:t>การพัฒนาแบบประเมินและวินิจฉัย (</w:t>
      </w:r>
      <w:r>
        <w:t xml:space="preserve">Diagnostic Assessment Tool) </w:t>
      </w:r>
      <w:r>
        <w:rPr>
          <w:cs/>
        </w:rPr>
        <w:t>จึงเป็นเครื่องมือเชิงประจักษ์ (</w:t>
      </w:r>
      <w:r>
        <w:t xml:space="preserve">Evidence-based) </w:t>
      </w:r>
      <w:r>
        <w:rPr>
          <w:cs/>
        </w:rPr>
        <w:t>ที่จำเป็นอย่างยิ่งในการจำแนกกลุ่มสถานะตามระดับขีดความสามารถ ช่วยให้หน่วยงานกำกับดูแล องค์กรปกครองส่วนท้องถิ่น และภาคีวิชาการ สามารถกำหนดมาตรการหนุนเสริมศักยภาพ (</w:t>
      </w:r>
      <w:r>
        <w:t xml:space="preserve">Targeted Capacity Building) </w:t>
      </w:r>
      <w:r>
        <w:rPr>
          <w:cs/>
        </w:rPr>
        <w:t>ได้ตรงกับสภาพความเป็นจริงและความต้องการของแต่ละกลุ่มพื้นที่</w:t>
      </w:r>
    </w:p>
    <w:p w14:paraId="68DA8FC2" w14:textId="77777777" w:rsidR="00C82C69" w:rsidRDefault="00C82C69" w:rsidP="00C82C69">
      <w:pPr>
        <w:pStyle w:val="NormalWeb"/>
      </w:pPr>
      <w:r>
        <w:rPr>
          <w:b/>
          <w:bCs/>
          <w:cs/>
        </w:rPr>
        <w:t xml:space="preserve">บทบาท หน้าที่ และสิทธิขององค์กรผู้ใช้น้ำตามพระราชบัญญัติทรัพยากรน้ำ พ.ศ. </w:t>
      </w:r>
      <w:r>
        <w:rPr>
          <w:b/>
          <w:bCs/>
        </w:rPr>
        <w:t>2561</w:t>
      </w:r>
    </w:p>
    <w:p w14:paraId="23CA0588" w14:textId="77777777" w:rsidR="00C82C69" w:rsidRDefault="00C82C69" w:rsidP="00C82C69">
      <w:pPr>
        <w:pStyle w:val="NormalWeb"/>
      </w:pPr>
      <w:r>
        <w:rPr>
          <w:cs/>
        </w:rPr>
        <w:t xml:space="preserve">พระราชบัญญัติทรัพยากรน้ำ พ.ศ. </w:t>
      </w:r>
      <w:r>
        <w:t xml:space="preserve">2561 </w:t>
      </w:r>
      <w:r>
        <w:rPr>
          <w:cs/>
        </w:rPr>
        <w:t>และกฎกระทรวงที่เกี่ยวข้อง ได้บัญญัติรับรองสถานะ อำนาจหน้าที่ และสิทธิขององค์กรผู้ใช้น้ำไว้อย่างเป็นรูปธรรมในแต่ละมาตรา ดังนี้:</w:t>
      </w:r>
    </w:p>
    <w:p w14:paraId="1842F625" w14:textId="77777777" w:rsidR="00C82C69" w:rsidRDefault="00C82C69" w:rsidP="00C82C69">
      <w:pPr>
        <w:pStyle w:val="NormalWeb"/>
        <w:numPr>
          <w:ilvl w:val="0"/>
          <w:numId w:val="2"/>
        </w:numPr>
      </w:pPr>
      <w:r>
        <w:rPr>
          <w:b/>
          <w:bCs/>
          <w:cs/>
        </w:rPr>
        <w:t xml:space="preserve">สิทธิในการรวมกลุ่มและจัดตั้งองค์กร (มาตรา </w:t>
      </w:r>
      <w:r>
        <w:rPr>
          <w:b/>
          <w:bCs/>
        </w:rPr>
        <w:t>38):</w:t>
      </w:r>
    </w:p>
    <w:p w14:paraId="5BE9A4B5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บัญญัติให้บุคคลธรรมดาซึ่งใช้ทรัพยากรน้ำในบริเวณแหล่งน้ำเดียวกันหรือในระบบลุ่มน้ำเดียวกัน มีสิทธิรวมตัวกันจัดตั้งเป็น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องค์กรผู้ใช้น้ำ"</w:t>
      </w:r>
      <w:r>
        <w:t xml:space="preserve"> </w:t>
      </w:r>
      <w:r>
        <w:rPr>
          <w:cs/>
        </w:rPr>
        <w:t>เพื่อประโยชน์ร่วมกันในการบริหารจัดการ การใช้ การพัฒนา การอนุรักษ์ การฟื้นฟู และการบำรุงรักษาทรัพยากรน้ำ</w:t>
      </w:r>
    </w:p>
    <w:p w14:paraId="2D60A798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เปิดกว้างให้นิติบุคคลหรือกลุ่มบุคคลตามกฎหมายอื่น (เช่น กลุ่มผู้ใช้น้ำชลประทาน สหกรณ์การเกษตร นิติบุคคลภาคอุตสาหกรรม หรือกลุ่มพาณิชยกรรม) สามารถยื่นคำขอจดทะเบียนเป็นองค์กรผู้ใช้น้ำตาม พ.ร.บ. นี้ได้ตามหลักเกณฑ์ วิธีการ และเงื่อนไขที่กำหนดในกฎกระทรวง</w:t>
      </w:r>
    </w:p>
    <w:p w14:paraId="700A4503" w14:textId="77777777" w:rsidR="00C82C69" w:rsidRDefault="00C82C69" w:rsidP="00C82C69">
      <w:pPr>
        <w:pStyle w:val="NormalWeb"/>
        <w:numPr>
          <w:ilvl w:val="0"/>
          <w:numId w:val="2"/>
        </w:numPr>
      </w:pPr>
      <w:r>
        <w:rPr>
          <w:b/>
          <w:bCs/>
          <w:cs/>
        </w:rPr>
        <w:t xml:space="preserve">สิทธิในการเป็นตัวแทนในคณะกรรมการลุ่มน้ำ (มาตรา </w:t>
      </w:r>
      <w:r>
        <w:rPr>
          <w:b/>
          <w:bCs/>
        </w:rPr>
        <w:t>27 (4)):</w:t>
      </w:r>
    </w:p>
    <w:p w14:paraId="55067947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กำหนดโครงสร้างองค์ประกอบของ</w:t>
      </w:r>
      <w:r>
        <w:t xml:space="preserve"> </w:t>
      </w:r>
      <w:r>
        <w:rPr>
          <w:b/>
          <w:bCs/>
          <w:cs/>
        </w:rPr>
        <w:t>คณะกรรมการลุ่มน้ำ (คบล.)</w:t>
      </w:r>
      <w:r>
        <w:t xml:space="preserve"> </w:t>
      </w:r>
      <w:r>
        <w:rPr>
          <w:cs/>
        </w:rPr>
        <w:t>ให้มีกรรมการลุ่มน้ำซึ่งเป็น</w:t>
      </w:r>
      <w:r>
        <w:t xml:space="preserve"> </w:t>
      </w:r>
      <w:r>
        <w:rPr>
          <w:b/>
          <w:bCs/>
        </w:rPr>
        <w:t>"</w:t>
      </w:r>
      <w:r>
        <w:rPr>
          <w:b/>
          <w:bCs/>
          <w:cs/>
        </w:rPr>
        <w:t>ผู้แทนองค์กรผู้ใช้น้ำ"</w:t>
      </w:r>
      <w:r>
        <w:t xml:space="preserve"> </w:t>
      </w:r>
      <w:r>
        <w:rPr>
          <w:cs/>
        </w:rPr>
        <w:t xml:space="preserve">จำนวนไม่เกิน </w:t>
      </w:r>
      <w:r>
        <w:t xml:space="preserve">9 </w:t>
      </w:r>
      <w:r>
        <w:rPr>
          <w:cs/>
        </w:rPr>
        <w:t xml:space="preserve">คน โดยต้องมาจากผู้แทนองค์กรผู้ใช้น้ำ </w:t>
      </w:r>
      <w:r>
        <w:t xml:space="preserve">3 </w:t>
      </w:r>
      <w:r>
        <w:rPr>
          <w:cs/>
        </w:rPr>
        <w:t>ภาคส่วน ได้แก่ ภาคเกษตรกรรม ภาคพาณิชยกรรม และภาคอุตสาหกรรม</w:t>
      </w:r>
    </w:p>
    <w:p w14:paraId="746775ED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lastRenderedPageBreak/>
        <w:t>ส่งผลให้องค์กรผู้ใช้น้ำที่จดทะเบียนถูกต้องตามกฎหมาย มีสิทธิส่งรายชื่อและใช้สิทธิลงคะแนนเลือกตั้งผู้แทนของตนเข้าไปนั่งในบอร์ดลุ่มน้ำ เพื่อร่วมพิจารณาแผนแม่บท การจัดสรรน้ำ และกลั่นกรองงบประมาณระดับพื้นที่</w:t>
      </w:r>
    </w:p>
    <w:p w14:paraId="4023FCD5" w14:textId="77777777" w:rsidR="00C82C69" w:rsidRDefault="00C82C69" w:rsidP="00C82C69">
      <w:pPr>
        <w:pStyle w:val="NormalWeb"/>
        <w:numPr>
          <w:ilvl w:val="0"/>
          <w:numId w:val="2"/>
        </w:numPr>
      </w:pPr>
      <w:r>
        <w:rPr>
          <w:b/>
          <w:bCs/>
          <w:cs/>
        </w:rPr>
        <w:t xml:space="preserve">สิทธิในการเป็นตัวแทนระดับชาติในคณะกรรมการทรัพยากรน้ำแห่งชาติ (มาตรา </w:t>
      </w:r>
      <w:r>
        <w:rPr>
          <w:b/>
          <w:bCs/>
        </w:rPr>
        <w:t>17 (5)):</w:t>
      </w:r>
    </w:p>
    <w:p w14:paraId="3FA75B69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กำหนดโครงสร้างของ</w:t>
      </w:r>
      <w:r>
        <w:t xml:space="preserve"> </w:t>
      </w:r>
      <w:r>
        <w:rPr>
          <w:b/>
          <w:bCs/>
          <w:cs/>
        </w:rPr>
        <w:t>คณะกรรมการทรัพยากรน้ำแห่งชาติ (กนช.)</w:t>
      </w:r>
      <w:r>
        <w:t xml:space="preserve"> </w:t>
      </w:r>
      <w:r>
        <w:rPr>
          <w:cs/>
        </w:rPr>
        <w:t>ซึ่งเป็นบอร์ดนโยบายระดับสูงสุดของประเทศ ให้มีกรรมการผู้แทนคณะกรรมการลุ่มน้ำ ซึ่งต้องได้รับการคัดเลือกมาจากผู้แทนองค์กรผู้ใช้น้ำประจำลุ่มน้ำ</w:t>
      </w:r>
    </w:p>
    <w:p w14:paraId="126A916E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ทำให้เสียงและความต้องการของเครือข่ายผู้ใช้น้ำในระดับฐานราก สามารถเชื่อมโยงไปถึงการกำหนดนโยบาย ยุทธศาสตร์ และการจัดสรรงบประมาณบูรณาการระดับชาติ</w:t>
      </w:r>
    </w:p>
    <w:p w14:paraId="1D59EAFA" w14:textId="77777777" w:rsidR="00C82C69" w:rsidRDefault="00C82C69" w:rsidP="00C82C69">
      <w:pPr>
        <w:pStyle w:val="NormalWeb"/>
        <w:numPr>
          <w:ilvl w:val="0"/>
          <w:numId w:val="2"/>
        </w:numPr>
      </w:pPr>
      <w:r>
        <w:rPr>
          <w:b/>
          <w:bCs/>
          <w:cs/>
        </w:rPr>
        <w:t xml:space="preserve">บทบาทในการเสนอแนะแผนงานและมาตรการต่อคณะกรรมการลุ่มน้ำ (มาตรา </w:t>
      </w:r>
      <w:r>
        <w:rPr>
          <w:b/>
          <w:bCs/>
        </w:rPr>
        <w:t xml:space="preserve">35 (1) </w:t>
      </w:r>
      <w:r>
        <w:rPr>
          <w:b/>
          <w:bCs/>
          <w:cs/>
        </w:rPr>
        <w:t>และ (</w:t>
      </w:r>
      <w:r>
        <w:rPr>
          <w:b/>
          <w:bCs/>
        </w:rPr>
        <w:t>2)):</w:t>
      </w:r>
    </w:p>
    <w:p w14:paraId="1D982D46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องค์กรผู้ใช้น้ำมีบทบาทโดยตรงในการสะท้อนข้อมูลสภาพปัญหา ความต้องการน้ำ ความเสี่ยงภัยแล้ง และอุทกภัยในระดับลุ่มน้ำย่อย เพื่อเป็นฐานข้อมูลให้คณะกรรมการลุ่มน้ำนำไปจัดทำแผนแม่บทการใช้ การพัฒนา การบริหารจัดการ การบำรุงรักษา การฟื้นฟู และการอนุรักษ์ทรัพยากรน้ำในเขตลุ่มน้ำ</w:t>
      </w:r>
    </w:p>
    <w:p w14:paraId="720D8F99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ร่วมเสนอความคิดเห็นในการจัดทำแผนป้องกันและแก้ไขภาวะน้ำแล้ง และแผนป้องกันและแก้ไขภาวะน้ำท่วมของลุ่มน้ำ</w:t>
      </w:r>
    </w:p>
    <w:p w14:paraId="0D4AD121" w14:textId="77777777" w:rsidR="00C82C69" w:rsidRDefault="00C82C69" w:rsidP="00C82C69">
      <w:pPr>
        <w:pStyle w:val="NormalWeb"/>
        <w:numPr>
          <w:ilvl w:val="0"/>
          <w:numId w:val="2"/>
        </w:numPr>
      </w:pPr>
      <w:r>
        <w:rPr>
          <w:b/>
          <w:bCs/>
          <w:cs/>
        </w:rPr>
        <w:t xml:space="preserve">บทบาทในการบริหารจัดการ การจัดสรรน้ำ และการจัดทำข้อตกลง (มาตรา </w:t>
      </w:r>
      <w:r>
        <w:rPr>
          <w:b/>
          <w:bCs/>
        </w:rPr>
        <w:t xml:space="preserve">35 (3) </w:t>
      </w:r>
      <w:r>
        <w:rPr>
          <w:b/>
          <w:bCs/>
          <w:cs/>
        </w:rPr>
        <w:t xml:space="preserve">และมาตรา </w:t>
      </w:r>
      <w:r>
        <w:rPr>
          <w:b/>
          <w:bCs/>
        </w:rPr>
        <w:t>39):</w:t>
      </w:r>
    </w:p>
    <w:p w14:paraId="0A458BE0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ร่วมกับคณะกรรมการลุ่มน้ำและหน่วยงานของรัฐในการกำหนดแนวทาง กฎเกณฑ์ และสัดส่วนการจัดสรรทรัพยากรน้ำในเขตลุ่มน้ำ โดยเฉพาะการจัดสรรน้ำประเภทที่หนึ่ง (เพื่อการดำรงชีพและการเกษตรยังชีพ) และประเภทที่สอง (เพื่อการพาณิชย์ เกษตรกรรมขนาดใหญ่)</w:t>
      </w:r>
    </w:p>
    <w:p w14:paraId="2913BC49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กำหนดกติกา กฎระเบียบชุมชน และข้อตกลงร่วมกันภายในกลุ่มในการแบ่งปันน้ำตามรอบเวร เพื่อสร้างความเป็นธรรมและป้องกันปัญหาการแย่งชิงน้ำ</w:t>
      </w:r>
    </w:p>
    <w:p w14:paraId="752B00ED" w14:textId="77777777" w:rsidR="00C82C69" w:rsidRDefault="00C82C69" w:rsidP="00C82C69">
      <w:pPr>
        <w:pStyle w:val="NormalWeb"/>
        <w:numPr>
          <w:ilvl w:val="0"/>
          <w:numId w:val="2"/>
        </w:numPr>
      </w:pPr>
      <w:r>
        <w:rPr>
          <w:b/>
          <w:bCs/>
          <w:cs/>
        </w:rPr>
        <w:t xml:space="preserve">บทบาทในการอนุรักษ์ บำรุงรักษา และระงับข้อพิพาทเชิงพื้นที่ (มาตรา </w:t>
      </w:r>
      <w:r>
        <w:rPr>
          <w:b/>
          <w:bCs/>
        </w:rPr>
        <w:t xml:space="preserve">35 (5) </w:t>
      </w:r>
      <w:r>
        <w:rPr>
          <w:b/>
          <w:bCs/>
          <w:cs/>
        </w:rPr>
        <w:t>และ (</w:t>
      </w:r>
      <w:r>
        <w:rPr>
          <w:b/>
          <w:bCs/>
        </w:rPr>
        <w:t>6)):</w:t>
      </w:r>
    </w:p>
    <w:p w14:paraId="0DCF7E16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ร่วมมือกับองค์กรปกครองส่วนท้องถิ่นและชุมชนในการดูแล บำรุงรักษา ขุดลอก และฟื้นฟูแหล่งน้ำสาธารณะ ตลอดจนร่วมเฝ้าระวังคุณภาพน้ำและป้องกันมลพิษทางน้ำในพื้นที่</w:t>
      </w:r>
    </w:p>
    <w:p w14:paraId="6C24BA60" w14:textId="77777777" w:rsidR="00C82C69" w:rsidRDefault="00C82C69" w:rsidP="00C82C69">
      <w:pPr>
        <w:pStyle w:val="NormalWeb"/>
        <w:numPr>
          <w:ilvl w:val="1"/>
          <w:numId w:val="2"/>
        </w:numPr>
      </w:pPr>
      <w:r>
        <w:rPr>
          <w:cs/>
        </w:rPr>
        <w:t>ทำหน้าที่เป็นกลไกประนีประนอม ไกล่เกลี่ย และระงับข้อขัดแย้งเกี่ยวกับการบริหารจัดการและการใช้น้ำระหว่างสมาชิกภายในลุ่มน้ำย่อย ก่อนที่จะส่งเรื่องเข้าสู่กระบวนการพิจารณาของคณะกรรมการลุ่มน้ำตามขั้นตอนกฎหมาย</w:t>
      </w:r>
    </w:p>
    <w:p w14:paraId="33F527CE" w14:textId="77777777" w:rsidR="008536CD" w:rsidRDefault="008536CD"/>
    <w:sectPr w:rsidR="0085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23C5"/>
    <w:multiLevelType w:val="multilevel"/>
    <w:tmpl w:val="C4D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C7B8A"/>
    <w:multiLevelType w:val="multilevel"/>
    <w:tmpl w:val="423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69"/>
    <w:rsid w:val="008536CD"/>
    <w:rsid w:val="00C8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E6B8"/>
  <w15:chartTrackingRefBased/>
  <w15:docId w15:val="{241368AE-0EFA-431B-8F48-11277384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2C6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3853</Characters>
  <Application>Microsoft Office Word</Application>
  <DocSecurity>0</DocSecurity>
  <Lines>32</Lines>
  <Paragraphs>9</Paragraphs>
  <ScaleCrop>false</ScaleCrop>
  <Company>Rajamangala University of Technology Lanna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มงคลกร ศรีวิชัย</dc:creator>
  <cp:keywords/>
  <dc:description/>
  <cp:lastModifiedBy>มงคลกร ศรีวิชัย</cp:lastModifiedBy>
  <cp:revision>1</cp:revision>
  <dcterms:created xsi:type="dcterms:W3CDTF">2026-09-06T09:24:00Z</dcterms:created>
  <dcterms:modified xsi:type="dcterms:W3CDTF">2026-09-06T09:25:00Z</dcterms:modified>
</cp:coreProperties>
</file>