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3B032632" w:rsidR="00623416" w:rsidRPr="006323EC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="006323EC" w:rsidRPr="006323EC">
        <w:rPr>
          <w:b w:val="0"/>
        </w:rPr>
        <w:t xml:space="preserve">Monika </w:t>
      </w:r>
      <w:proofErr w:type="spellStart"/>
      <w:r w:rsidR="006323EC" w:rsidRPr="006323EC">
        <w:rPr>
          <w:b w:val="0"/>
        </w:rPr>
        <w:t>Bency.A</w:t>
      </w:r>
      <w:proofErr w:type="spellEnd"/>
    </w:p>
    <w:p w14:paraId="4D8C6BB9" w14:textId="26789422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6323EC">
        <w:rPr>
          <w:spacing w:val="-2"/>
          <w:sz w:val="36"/>
        </w:rPr>
        <w:t>422223243036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0AEC27A3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  <w:bookmarkStart w:id="0" w:name="_GoBack"/>
      <w:bookmarkEnd w:id="0"/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9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034A22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034A22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034A22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4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1AB15" w14:textId="77777777" w:rsidR="00034A22" w:rsidRDefault="00034A22">
      <w:r>
        <w:separator/>
      </w:r>
    </w:p>
  </w:endnote>
  <w:endnote w:type="continuationSeparator" w:id="0">
    <w:p w14:paraId="65AE9C55" w14:textId="77777777" w:rsidR="00034A22" w:rsidRDefault="0003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2F8BA" w14:textId="77777777" w:rsidR="00034A22" w:rsidRDefault="00034A22">
      <w:r>
        <w:separator/>
      </w:r>
    </w:p>
  </w:footnote>
  <w:footnote w:type="continuationSeparator" w:id="0">
    <w:p w14:paraId="7179B1D1" w14:textId="77777777" w:rsidR="00034A22" w:rsidRDefault="0003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A22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86FF4"/>
    <w:rsid w:val="003B670A"/>
    <w:rsid w:val="003E7922"/>
    <w:rsid w:val="0047167E"/>
    <w:rsid w:val="0048385F"/>
    <w:rsid w:val="004F5254"/>
    <w:rsid w:val="005728D6"/>
    <w:rsid w:val="0061560F"/>
    <w:rsid w:val="00623416"/>
    <w:rsid w:val="00631B48"/>
    <w:rsid w:val="006323EC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7AD5"/>
    <w:rsid w:val="008A5DCF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  <w15:docId w15:val="{9D3C61B7-CFB1-4BAB-B6E2-8A1B445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oddrationale/mnist-in-csv/versions/1?resource=downloa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HP</cp:lastModifiedBy>
  <cp:revision>2</cp:revision>
  <dcterms:created xsi:type="dcterms:W3CDTF">2025-05-06T15:07:00Z</dcterms:created>
  <dcterms:modified xsi:type="dcterms:W3CDTF">2025-05-06T15:07:00Z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