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Arial" w:cs="Arial" w:eastAsia="Arial" w:hAnsi="Arial"/>
          <w:b/>
          <w:bCs/>
          <w:caps/>
          <w:color w:val="1A56DB"/>
          <w:sz w:val="72"/>
          <w:szCs w:val="72"/>
        </w:rPr>
        <w:t xml:space="preserve">POLICYWALLET</w:t>
      </w:r>
    </w:p>
    <w:p>
      <w:pPr>
        <w:spacing w:before="0" w:after="80"/>
      </w:pPr>
      <w:r>
        <w:rPr>
          <w:rFonts w:ascii="Arial" w:cs="Arial" w:eastAsia="Arial" w:hAnsi="Arial"/>
          <w:color w:val="111827"/>
          <w:sz w:val="44"/>
          <w:szCs w:val="44"/>
        </w:rPr>
        <w:t xml:space="preserve">Product Specification</w:t>
      </w:r>
    </w:p>
    <w:p>
      <w:pPr>
        <w:spacing w:before="0" w:after="600"/>
      </w:pPr>
      <w:r>
        <w:rPr>
          <w:rFonts w:ascii="Arial" w:cs="Arial" w:eastAsia="Arial" w:hAnsi="Arial"/>
          <w:color w:val="4B5563"/>
          <w:sz w:val="28"/>
          <w:szCs w:val="28"/>
        </w:rPr>
        <w:t xml:space="preserve">Front-End Development — User Journeys &amp; UI/UX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r>
              <w:rPr>
                <w:rFonts w:ascii="Arial" w:cs="Arial" w:eastAsia="Arial" w:hAnsi="Arial"/>
                <w:b/>
                <w:bCs/>
                <w:color w:val="1A56DB"/>
                <w:sz w:val="20"/>
                <w:szCs w:val="20"/>
              </w:rPr>
              <w:t xml:space="preserve">Version</w:t>
            </w:r>
          </w:p>
          <w:p>
            <w:r>
              <w:rPr>
                <w:rFonts w:ascii="Arial" w:cs="Arial" w:eastAsia="Arial" w:hAnsi="Arial"/>
                <w:color w:val="111827"/>
                <w:sz w:val="21"/>
                <w:szCs w:val="21"/>
              </w:rPr>
              <w:t xml:space="preserve">1.0</w:t>
            </w:r>
          </w:p>
        </w:tc>
        <w:tc>
          <w:tcPr>
            <w:tcW w:type="dxa" w:w="3120"/>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r>
              <w:rPr>
                <w:rFonts w:ascii="Arial" w:cs="Arial" w:eastAsia="Arial" w:hAnsi="Arial"/>
                <w:b/>
                <w:bCs/>
                <w:color w:val="1A56DB"/>
                <w:sz w:val="20"/>
                <w:szCs w:val="20"/>
              </w:rPr>
              <w:t xml:space="preserve">Status</w:t>
            </w:r>
          </w:p>
          <w:p>
            <w:r>
              <w:rPr>
                <w:rFonts w:ascii="Arial" w:cs="Arial" w:eastAsia="Arial" w:hAnsi="Arial"/>
                <w:color w:val="111827"/>
                <w:sz w:val="21"/>
                <w:szCs w:val="21"/>
              </w:rPr>
              <w:t xml:space="preserve">Ready for Development</w:t>
            </w:r>
          </w:p>
        </w:tc>
        <w:tc>
          <w:tcPr>
            <w:tcW w:type="dxa" w:w="3120"/>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r>
              <w:rPr>
                <w:rFonts w:ascii="Arial" w:cs="Arial" w:eastAsia="Arial" w:hAnsi="Arial"/>
                <w:b/>
                <w:bCs/>
                <w:color w:val="1A56DB"/>
                <w:sz w:val="20"/>
                <w:szCs w:val="20"/>
              </w:rPr>
              <w:t xml:space="preserve">Audience</w:t>
            </w:r>
          </w:p>
          <w:p>
            <w:r>
              <w:rPr>
                <w:rFonts w:ascii="Arial" w:cs="Arial" w:eastAsia="Arial" w:hAnsi="Arial"/>
                <w:color w:val="111827"/>
                <w:sz w:val="21"/>
                <w:szCs w:val="21"/>
              </w:rPr>
              <w:t xml:space="preserve">Front-End Team</w:t>
            </w:r>
          </w:p>
        </w:tc>
      </w:tr>
    </w:tbl>
    <w:p>
      <w:r>
        <w:br w:type="page"/>
      </w:r>
    </w:p>
    <w:p>
      <w:pPr>
        <w:pStyle w:val="Heading1"/>
        <w:spacing w:before="400" w:after="160"/>
      </w:pPr>
      <w:r>
        <w:rPr>
          <w:rFonts w:ascii="Arial" w:cs="Arial" w:eastAsia="Arial" w:hAnsi="Arial"/>
          <w:b/>
          <w:bCs/>
          <w:color w:val="1A56DB"/>
          <w:sz w:val="36"/>
          <w:szCs w:val="36"/>
        </w:rPr>
        <w:t xml:space="preserve">1. Product Overview</w:t>
      </w:r>
    </w:p>
    <w:p>
      <w:pPr>
        <w:spacing w:before="60" w:after="80"/>
      </w:pPr>
      <w:r>
        <w:rPr>
          <w:rFonts w:ascii="Arial" w:cs="Arial" w:eastAsia="Arial" w:hAnsi="Arial"/>
          <w:color w:val="4B5563"/>
          <w:sz w:val="22"/>
          <w:szCs w:val="22"/>
        </w:rPr>
        <w:t xml:space="preserve">PolicyWallet is a mobile-first insurance management app that acts as a single, secure digital vault for all of a user's insurance policies. It combines document storage, AI-powered policy analysis, proactive reminders, family sharing, and direct agent connectivity into one seamless experience.</w:t>
      </w:r>
    </w:p>
    <w:p>
      <w:pPr>
        <w:spacing w:before="80"/>
      </w:pPr>
    </w:p>
    <w:p>
      <w:pPr>
        <w:spacing w:before="60" w:after="80"/>
      </w:pPr>
      <w:r>
        <w:rPr>
          <w:rFonts w:ascii="Arial" w:cs="Arial" w:eastAsia="Arial" w:hAnsi="Arial"/>
          <w:b/>
          <w:bCs/>
          <w:color w:val="4B5563"/>
          <w:sz w:val="22"/>
          <w:szCs w:val="22"/>
        </w:rPr>
        <w:t xml:space="preserve">The core value proposition, as expressed by target users, rests on three pillars:</w:t>
      </w:r>
    </w:p>
    <w:p>
      <w:pPr>
        <w:pStyle w:val="ListParagraph"/>
        <w:numPr>
          <w:ilvl w:val="0"/>
          <w:numId w:val="2"/>
        </w:numPr>
        <w:spacing w:before="40" w:after="60"/>
      </w:pPr>
      <w:r>
        <w:rPr>
          <w:rFonts w:ascii="Arial" w:cs="Arial" w:eastAsia="Arial" w:hAnsi="Arial"/>
          <w:color w:val="4B5563"/>
          <w:sz w:val="22"/>
          <w:szCs w:val="22"/>
        </w:rPr>
        <w:t xml:space="preserve">Simplicity — replacing multiple insurer apps and scattered PDFs with one place.</w:t>
      </w:r>
    </w:p>
    <w:p>
      <w:pPr>
        <w:pStyle w:val="ListParagraph"/>
        <w:numPr>
          <w:ilvl w:val="0"/>
          <w:numId w:val="2"/>
        </w:numPr>
        <w:spacing w:before="40" w:after="60"/>
      </w:pPr>
      <w:r>
        <w:rPr>
          <w:rFonts w:ascii="Arial" w:cs="Arial" w:eastAsia="Arial" w:hAnsi="Arial"/>
          <w:color w:val="4B5563"/>
          <w:sz w:val="22"/>
          <w:szCs w:val="22"/>
        </w:rPr>
        <w:t xml:space="preserve">Intelligence — an AI layer that translates complex policy language into plain-language insights and surfaces savings opportunities.</w:t>
      </w:r>
    </w:p>
    <w:p>
      <w:pPr>
        <w:pStyle w:val="ListParagraph"/>
        <w:numPr>
          <w:ilvl w:val="0"/>
          <w:numId w:val="2"/>
        </w:numPr>
        <w:spacing w:before="40" w:after="60"/>
      </w:pPr>
      <w:r>
        <w:rPr>
          <w:rFonts w:ascii="Arial" w:cs="Arial" w:eastAsia="Arial" w:hAnsi="Arial"/>
          <w:color w:val="4B5563"/>
          <w:sz w:val="22"/>
          <w:szCs w:val="22"/>
        </w:rPr>
        <w:t xml:space="preserve">Peace of mind — proactive reminders, family sharing, and professional agent connectivity.</w:t>
      </w:r>
    </w:p>
    <w:p>
      <w:pPr>
        <w:pBdr>
          <w:bottom w:val="single" w:color="BFDBFE" w:sz="4" w:space="1"/>
        </w:pBdr>
        <w:spacing w:before="200" w:after="200"/>
      </w:pPr>
    </w:p>
    <w:p>
      <w:pPr>
        <w:pStyle w:val="Heading1"/>
        <w:spacing w:before="400" w:after="160"/>
      </w:pPr>
      <w:r>
        <w:rPr>
          <w:rFonts w:ascii="Arial" w:cs="Arial" w:eastAsia="Arial" w:hAnsi="Arial"/>
          <w:b/>
          <w:bCs/>
          <w:color w:val="1A56DB"/>
          <w:sz w:val="36"/>
          <w:szCs w:val="36"/>
        </w:rPr>
        <w:t xml:space="preserve">2. Target User Persona</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60"/>
              <w:left w:type="dxa" w:w="200"/>
              <w:bottom w:type="dxa" w:w="160"/>
              <w:right w:type="dxa" w:w="200"/>
            </w:tcMar>
          </w:tcPr>
          <w:p>
            <w:r>
              <w:rPr>
                <w:rFonts w:ascii="Arial" w:cs="Arial" w:eastAsia="Arial" w:hAnsi="Arial"/>
                <w:b/>
                <w:bCs/>
                <w:color w:val="1A56DB"/>
                <w:sz w:val="22"/>
                <w:szCs w:val="22"/>
              </w:rPr>
              <w:t xml:space="preserve">Primary Persona:  </w:t>
            </w:r>
            <w:r>
              <w:rPr>
                <w:rFonts w:ascii="Arial" w:cs="Arial" w:eastAsia="Arial" w:hAnsi="Arial"/>
                <w:color w:val="4B5563"/>
                <w:sz w:val="22"/>
                <w:szCs w:val="22"/>
              </w:rPr>
              <w:t xml:space="preserve">The Busy Urban Professional — a city-dweller (e.g., Athens) juggling multiple policies across insurers. Time-poor, digitally comfortable, GDPR-conscious, and frustrated with disorganized insurance paperwork. Motivated by savings, convenience, and security.</w:t>
            </w:r>
          </w:p>
        </w:tc>
      </w:tr>
    </w:tbl>
    <w:p>
      <w:pPr>
        <w:spacing w:before="160"/>
      </w:pPr>
    </w:p>
    <w:p>
      <w:pPr>
        <w:spacing w:before="60" w:after="80"/>
      </w:pPr>
      <w:r>
        <w:rPr>
          <w:rFonts w:ascii="Arial" w:cs="Arial" w:eastAsia="Arial" w:hAnsi="Arial"/>
          <w:color w:val="4B5563"/>
          <w:sz w:val="22"/>
          <w:szCs w:val="22"/>
        </w:rPr>
        <w:t xml:space="preserve">Key persona characteristics that must inform UI decisions:</w:t>
      </w:r>
    </w:p>
    <w:p>
      <w:pPr>
        <w:pStyle w:val="ListParagraph"/>
        <w:numPr>
          <w:ilvl w:val="0"/>
          <w:numId w:val="2"/>
        </w:numPr>
        <w:spacing w:before="40" w:after="60"/>
      </w:pPr>
      <w:r>
        <w:rPr>
          <w:rFonts w:ascii="Arial" w:cs="Arial" w:eastAsia="Arial" w:hAnsi="Arial"/>
          <w:color w:val="4B5563"/>
          <w:sz w:val="22"/>
          <w:szCs w:val="22"/>
        </w:rPr>
        <w:t xml:space="preserve">Owns 3–5 policies across different insurers (Motor, Health, Home, Life).</w:t>
      </w:r>
    </w:p>
    <w:p>
      <w:pPr>
        <w:pStyle w:val="ListParagraph"/>
        <w:numPr>
          <w:ilvl w:val="0"/>
          <w:numId w:val="2"/>
        </w:numPr>
        <w:spacing w:before="40" w:after="60"/>
      </w:pPr>
      <w:r>
        <w:rPr>
          <w:rFonts w:ascii="Arial" w:cs="Arial" w:eastAsia="Arial" w:hAnsi="Arial"/>
          <w:color w:val="4B5563"/>
          <w:sz w:val="22"/>
          <w:szCs w:val="22"/>
        </w:rPr>
        <w:t xml:space="preserve">Previously relied on email folders, gloveboxes, and insecure messaging apps (WhatsApp/Viber) to manage and share policy documents.</w:t>
      </w:r>
    </w:p>
    <w:p>
      <w:pPr>
        <w:pStyle w:val="ListParagraph"/>
        <w:numPr>
          <w:ilvl w:val="0"/>
          <w:numId w:val="2"/>
        </w:numPr>
        <w:spacing w:before="40" w:after="60"/>
      </w:pPr>
      <w:r>
        <w:rPr>
          <w:rFonts w:ascii="Arial" w:cs="Arial" w:eastAsia="Arial" w:hAnsi="Arial"/>
          <w:color w:val="4B5563"/>
          <w:sz w:val="22"/>
          <w:szCs w:val="22"/>
        </w:rPr>
        <w:t xml:space="preserve">Interacts with the app roughly twice a month — once to check a payment date, once to look up a specific coverage detail.</w:t>
      </w:r>
    </w:p>
    <w:p>
      <w:pPr>
        <w:pStyle w:val="ListParagraph"/>
        <w:numPr>
          <w:ilvl w:val="0"/>
          <w:numId w:val="2"/>
        </w:numPr>
        <w:spacing w:before="40" w:after="60"/>
      </w:pPr>
      <w:r>
        <w:rPr>
          <w:rFonts w:ascii="Arial" w:cs="Arial" w:eastAsia="Arial" w:hAnsi="Arial"/>
          <w:color w:val="4B5563"/>
          <w:sz w:val="22"/>
          <w:szCs w:val="22"/>
        </w:rPr>
        <w:t xml:space="preserve">Values biometric login; finds repeated password entry a major friction point.</w:t>
      </w:r>
    </w:p>
    <w:p>
      <w:pPr>
        <w:pStyle w:val="ListParagraph"/>
        <w:numPr>
          <w:ilvl w:val="0"/>
          <w:numId w:val="2"/>
        </w:numPr>
        <w:spacing w:before="40" w:after="60"/>
      </w:pPr>
      <w:r>
        <w:rPr>
          <w:rFonts w:ascii="Arial" w:cs="Arial" w:eastAsia="Arial" w:hAnsi="Arial"/>
          <w:color w:val="4B5563"/>
          <w:sz w:val="22"/>
          <w:szCs w:val="22"/>
        </w:rPr>
        <w:t xml:space="preserve">Shares the app with a spouse/partner for family-level policy visibility.</w:t>
      </w:r>
    </w:p>
    <w:p>
      <w:pPr>
        <w:pStyle w:val="ListParagraph"/>
        <w:numPr>
          <w:ilvl w:val="0"/>
          <w:numId w:val="2"/>
        </w:numPr>
        <w:spacing w:before="40" w:after="60"/>
      </w:pPr>
      <w:r>
        <w:rPr>
          <w:rFonts w:ascii="Arial" w:cs="Arial" w:eastAsia="Arial" w:hAnsi="Arial"/>
          <w:color w:val="4B5563"/>
          <w:sz w:val="22"/>
          <w:szCs w:val="22"/>
        </w:rPr>
        <w:t xml:space="preserve">Has an existing insurance agent relationship they want to preserve and improve.</w:t>
      </w:r>
    </w:p>
    <w:p>
      <w:pPr>
        <w:pBdr>
          <w:bottom w:val="single" w:color="BFDBFE" w:sz="4" w:space="1"/>
        </w:pBdr>
        <w:spacing w:before="200" w:after="200"/>
      </w:pPr>
    </w:p>
    <w:p>
      <w:pPr>
        <w:pStyle w:val="Heading1"/>
        <w:spacing w:before="400" w:after="160"/>
      </w:pPr>
      <w:r>
        <w:rPr>
          <w:rFonts w:ascii="Arial" w:cs="Arial" w:eastAsia="Arial" w:hAnsi="Arial"/>
          <w:b/>
          <w:bCs/>
          <w:color w:val="1A56DB"/>
          <w:sz w:val="36"/>
          <w:szCs w:val="36"/>
        </w:rPr>
        <w:t xml:space="preserve">3. Discovery &amp; Signup Flow</w:t>
      </w:r>
    </w:p>
    <w:p>
      <w:pPr>
        <w:spacing w:before="60" w:after="80"/>
      </w:pPr>
      <w:r>
        <w:rPr>
          <w:rFonts w:ascii="Arial" w:cs="Arial" w:eastAsia="Arial" w:hAnsi="Arial"/>
          <w:color w:val="4B5563"/>
          <w:sz w:val="22"/>
          <w:szCs w:val="22"/>
        </w:rPr>
        <w:t xml:space="preserve">Users arrive primarily through social/content channels (tech blogs, targeted social ads). The messaging that converts them centers on: 'digitalization of insurance' and the AI analysis hook ('find out if you're really covered').</w:t>
      </w:r>
    </w:p>
    <w:p>
      <w:pPr>
        <w:spacing w:before="120"/>
      </w:pPr>
    </w:p>
    <w:p>
      <w:pPr>
        <w:pStyle w:val="Heading2"/>
        <w:spacing w:before="320" w:after="120"/>
      </w:pPr>
      <w:r>
        <w:rPr>
          <w:rFonts w:ascii="Arial" w:cs="Arial" w:eastAsia="Arial" w:hAnsi="Arial"/>
          <w:b/>
          <w:bCs/>
          <w:color w:val="111827"/>
          <w:sz w:val="26"/>
          <w:szCs w:val="26"/>
        </w:rPr>
        <w:t xml:space="preserve">3.1 Sign-Up Screen</w:t>
      </w:r>
    </w:p>
    <w:p>
      <w:pPr>
        <w:spacing w:before="60" w:after="80"/>
      </w:pPr>
      <w:r>
        <w:rPr>
          <w:rFonts w:ascii="Arial" w:cs="Arial" w:eastAsia="Arial" w:hAnsi="Arial"/>
          <w:color w:val="4B5563"/>
          <w:sz w:val="22"/>
          <w:szCs w:val="22"/>
        </w:rPr>
        <w:t xml:space="preserve">The signup experience must be minimal and trust-building. Key UI requirements:</w:t>
      </w:r>
    </w:p>
    <w:p>
      <w:pPr>
        <w:pStyle w:val="ListParagraph"/>
        <w:numPr>
          <w:ilvl w:val="0"/>
          <w:numId w:val="2"/>
        </w:numPr>
        <w:spacing w:before="40" w:after="60"/>
      </w:pPr>
      <w:r>
        <w:rPr>
          <w:rFonts w:ascii="Arial" w:cs="Arial" w:eastAsia="Arial" w:hAnsi="Arial"/>
          <w:color w:val="4B5563"/>
          <w:sz w:val="22"/>
          <w:szCs w:val="22"/>
        </w:rPr>
        <w:t xml:space="preserve">Social proof element visible on the first screen (e.g., number of users, GDPR badge).</w:t>
      </w:r>
    </w:p>
    <w:p>
      <w:pPr>
        <w:pStyle w:val="ListParagraph"/>
        <w:numPr>
          <w:ilvl w:val="0"/>
          <w:numId w:val="2"/>
        </w:numPr>
        <w:spacing w:before="40" w:after="60"/>
      </w:pPr>
      <w:r>
        <w:rPr>
          <w:rFonts w:ascii="Arial" w:cs="Arial" w:eastAsia="Arial" w:hAnsi="Arial"/>
          <w:color w:val="4B5563"/>
          <w:sz w:val="22"/>
          <w:szCs w:val="22"/>
        </w:rPr>
        <w:t xml:space="preserve">Clear, prominent messaging around GDPR compliance and data security — this is a primary motivator.</w:t>
      </w:r>
    </w:p>
    <w:p>
      <w:pPr>
        <w:pStyle w:val="ListParagraph"/>
        <w:numPr>
          <w:ilvl w:val="0"/>
          <w:numId w:val="2"/>
        </w:numPr>
        <w:spacing w:before="40" w:after="60"/>
      </w:pPr>
      <w:r>
        <w:rPr>
          <w:rFonts w:ascii="Arial" w:cs="Arial" w:eastAsia="Arial" w:hAnsi="Arial"/>
          <w:color w:val="4B5563"/>
          <w:sz w:val="22"/>
          <w:szCs w:val="22"/>
        </w:rPr>
        <w:t xml:space="preserve">Simple email/phone registration. No third-party auth (TaxisNet or Gov.gr equivalents) on signup — users explicitly cite these as friction.</w:t>
      </w:r>
    </w:p>
    <w:p>
      <w:pPr>
        <w:pStyle w:val="ListParagraph"/>
        <w:numPr>
          <w:ilvl w:val="0"/>
          <w:numId w:val="2"/>
        </w:numPr>
        <w:spacing w:before="40" w:after="60"/>
      </w:pPr>
      <w:r>
        <w:rPr>
          <w:rFonts w:ascii="Arial" w:cs="Arial" w:eastAsia="Arial" w:hAnsi="Arial"/>
          <w:color w:val="4B5563"/>
          <w:sz w:val="22"/>
          <w:szCs w:val="22"/>
        </w:rPr>
        <w:t xml:space="preserve">After account creation, immediately transition to the Welcome Tour.</w:t>
      </w:r>
    </w:p>
    <w:p>
      <w:pPr>
        <w:spacing w:before="120"/>
      </w:pPr>
    </w:p>
    <w:p>
      <w:pPr>
        <w:pStyle w:val="Heading2"/>
        <w:spacing w:before="320" w:after="120"/>
      </w:pPr>
      <w:r>
        <w:rPr>
          <w:rFonts w:ascii="Arial" w:cs="Arial" w:eastAsia="Arial" w:hAnsi="Arial"/>
          <w:b/>
          <w:bCs/>
          <w:color w:val="111827"/>
          <w:sz w:val="26"/>
          <w:szCs w:val="26"/>
        </w:rPr>
        <w:t xml:space="preserve">3.2 Welcome Tour (3 Steps)</w:t>
      </w:r>
    </w:p>
    <w:p>
      <w:pPr>
        <w:spacing w:before="60" w:after="80"/>
      </w:pPr>
      <w:r>
        <w:rPr>
          <w:rFonts w:ascii="Arial" w:cs="Arial" w:eastAsia="Arial" w:hAnsi="Arial"/>
          <w:color w:val="4B5563"/>
          <w:sz w:val="22"/>
          <w:szCs w:val="22"/>
        </w:rPr>
        <w:t xml:space="preserve">The onboarding tour is exactly 3 steps — no more. Its purpose is to personalize the experience and deliver the first 'wow' moment immediately.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1"/>
              <w:left w:val="single" w:color="DBEAFE" w:sz="1"/>
              <w:bottom w:val="single" w:color="DBEAFE" w:sz="1"/>
              <w:right w:val="single" w:color="DBEA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4680"/>
            <w:tcBorders>
              <w:top w:val="single" w:color="DBEAFE" w:sz="1"/>
              <w:left w:val="single" w:color="DBEAFE" w:sz="1"/>
              <w:bottom w:val="single" w:color="DBEAFE" w:sz="1"/>
              <w:right w:val="single" w:color="DBEA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Content &amp; UI Requirement</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Step 1 — Intent Capture</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Ask the user: 'What matters most to you?' Present 3 selectable tiles: Save Money, Health &amp; Family, and My Car. The user's selection personalizes dashboard card order and first AI prompt. Illustrated icons per option.</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Step 2 — First Upload Prompt</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Immediately prompt: 'Upload your first policy to see the magic.' Show a large '+' upload button, accept PDF. Convey that the AI will read it. Use reassuring copy ('Your document is encrypted and private').</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Step 3 — Confirmation &amp; CTA</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Show a brief animation or progress indicator as AI 'reads' the document. Display the extracted summary (policy type, premium, expiry). CTA: 'Go to My Wallet'.</w:t>
            </w:r>
          </w:p>
        </w:tc>
      </w:tr>
    </w:tbl>
    <w:p>
      <w:pPr>
        <w:pBdr>
          <w:bottom w:val="single" w:color="BFDBFE" w:sz="4" w:space="1"/>
        </w:pBdr>
        <w:spacing w:before="200" w:after="200"/>
      </w:pPr>
    </w:p>
    <w:p>
      <w:pPr>
        <w:pStyle w:val="Heading1"/>
        <w:spacing w:before="400" w:after="160"/>
      </w:pPr>
      <w:r>
        <w:rPr>
          <w:rFonts w:ascii="Arial" w:cs="Arial" w:eastAsia="Arial" w:hAnsi="Arial"/>
          <w:b/>
          <w:bCs/>
          <w:color w:val="1A56DB"/>
          <w:sz w:val="36"/>
          <w:szCs w:val="36"/>
        </w:rPr>
        <w:t xml:space="preserve">4. Login Experience</w:t>
      </w:r>
    </w:p>
    <w:p>
      <w:pPr>
        <w:spacing w:before="60" w:after="80"/>
      </w:pPr>
      <w:r>
        <w:rPr>
          <w:rFonts w:ascii="Arial" w:cs="Arial" w:eastAsia="Arial" w:hAnsi="Arial"/>
          <w:color w:val="4B5563"/>
          <w:sz w:val="22"/>
          <w:szCs w:val="22"/>
        </w:rPr>
        <w:t xml:space="preserve">Login is a high-frequency touchpoint — the experience must be near-instant. Any friction here directly damages daily utility perception.</w:t>
      </w:r>
    </w:p>
    <w:p>
      <w:pPr>
        <w:spacing w:before="80"/>
      </w:pPr>
    </w:p>
    <w:p>
      <w:pPr>
        <w:pStyle w:val="ListParagraph"/>
        <w:numPr>
          <w:ilvl w:val="0"/>
          <w:numId w:val="2"/>
        </w:numPr>
        <w:spacing w:before="40" w:after="60"/>
      </w:pPr>
      <w:r>
        <w:rPr>
          <w:rFonts w:ascii="Arial" w:cs="Arial" w:eastAsia="Arial" w:hAnsi="Arial"/>
          <w:color w:val="4B5563"/>
          <w:sz w:val="22"/>
          <w:szCs w:val="22"/>
        </w:rPr>
        <w:t xml:space="preserve">Primary login method: Biometric (Face ID / fingerprint). This must be the default and first presented option on all supported devices.</w:t>
      </w:r>
    </w:p>
    <w:p>
      <w:pPr>
        <w:pStyle w:val="ListParagraph"/>
        <w:numPr>
          <w:ilvl w:val="0"/>
          <w:numId w:val="2"/>
        </w:numPr>
        <w:spacing w:before="40" w:after="60"/>
      </w:pPr>
      <w:r>
        <w:rPr>
          <w:rFonts w:ascii="Arial" w:cs="Arial" w:eastAsia="Arial" w:hAnsi="Arial"/>
          <w:color w:val="4B5563"/>
          <w:sz w:val="22"/>
          <w:szCs w:val="22"/>
        </w:rPr>
        <w:t xml:space="preserve">PIN fallback available for devices without biometrics.</w:t>
      </w:r>
    </w:p>
    <w:p>
      <w:pPr>
        <w:pStyle w:val="ListParagraph"/>
        <w:numPr>
          <w:ilvl w:val="0"/>
          <w:numId w:val="2"/>
        </w:numPr>
        <w:spacing w:before="40" w:after="60"/>
      </w:pPr>
      <w:r>
        <w:rPr>
          <w:rFonts w:ascii="Arial" w:cs="Arial" w:eastAsia="Arial" w:hAnsi="Arial"/>
          <w:color w:val="4B5563"/>
          <w:sz w:val="22"/>
          <w:szCs w:val="22"/>
        </w:rPr>
        <w:t xml:space="preserve">Password/email login available but secondary — do not surface it prominently.</w:t>
      </w:r>
    </w:p>
    <w:p>
      <w:pPr>
        <w:pStyle w:val="ListParagraph"/>
        <w:numPr>
          <w:ilvl w:val="0"/>
          <w:numId w:val="2"/>
        </w:numPr>
        <w:spacing w:before="40" w:after="60"/>
      </w:pPr>
      <w:r>
        <w:rPr>
          <w:rFonts w:ascii="Arial" w:cs="Arial" w:eastAsia="Arial" w:hAnsi="Arial"/>
          <w:color w:val="4B5563"/>
          <w:sz w:val="22"/>
          <w:szCs w:val="22"/>
        </w:rPr>
        <w:t xml:space="preserve">Session persistence: users should never be asked to re-authenticate within a reasonable session window (e.g., 30 days inactive). The app should feel 'always open.'</w:t>
      </w:r>
    </w:p>
    <w:p>
      <w:pPr>
        <w:pStyle w:val="ListParagraph"/>
        <w:numPr>
          <w:ilvl w:val="0"/>
          <w:numId w:val="2"/>
        </w:numPr>
        <w:spacing w:before="40" w:after="60"/>
      </w:pPr>
      <w:r>
        <w:rPr>
          <w:rFonts w:ascii="Arial" w:cs="Arial" w:eastAsia="Arial" w:hAnsi="Arial"/>
          <w:color w:val="4B5563"/>
          <w:sz w:val="22"/>
          <w:szCs w:val="22"/>
        </w:rPr>
        <w:t xml:space="preserve">No integrations with government authentication portals (e.g., TaxisNet / Gov.gr) for routine login. These are explicitly cited as major friction points.</w:t>
      </w:r>
    </w:p>
    <w:p>
      <w:pPr>
        <w:pBdr>
          <w:bottom w:val="single" w:color="BFDBFE" w:sz="4" w:space="1"/>
        </w:pBdr>
        <w:spacing w:before="200" w:after="200"/>
      </w:pPr>
    </w:p>
    <w:p>
      <w:pPr>
        <w:pStyle w:val="Heading1"/>
        <w:spacing w:before="400" w:after="160"/>
      </w:pPr>
      <w:r>
        <w:rPr>
          <w:rFonts w:ascii="Arial" w:cs="Arial" w:eastAsia="Arial" w:hAnsi="Arial"/>
          <w:b/>
          <w:bCs/>
          <w:color w:val="1A56DB"/>
          <w:sz w:val="36"/>
          <w:szCs w:val="36"/>
        </w:rPr>
        <w:t xml:space="preserve">5. Home Dashboard</w:t>
      </w:r>
    </w:p>
    <w:p>
      <w:pPr>
        <w:spacing w:before="60" w:after="80"/>
      </w:pPr>
      <w:r>
        <w:rPr>
          <w:rFonts w:ascii="Arial" w:cs="Arial" w:eastAsia="Arial" w:hAnsi="Arial"/>
          <w:color w:val="4B5563"/>
          <w:sz w:val="22"/>
          <w:szCs w:val="22"/>
        </w:rPr>
        <w:t xml:space="preserve">The dashboard is the user's command center. It must communicate the user's complete insurance status at a glance and surface the most time-sensitive or valuable action in the first viewport. It is used approximately twice a month, so it must instantly re-orient a user who hasn't opened the app in 2 weeks.</w:t>
      </w:r>
    </w:p>
    <w:p>
      <w:pPr>
        <w:spacing w:before="120"/>
      </w:pPr>
    </w:p>
    <w:p>
      <w:pPr>
        <w:pStyle w:val="Heading2"/>
        <w:spacing w:before="320" w:after="120"/>
      </w:pPr>
      <w:r>
        <w:rPr>
          <w:rFonts w:ascii="Arial" w:cs="Arial" w:eastAsia="Arial" w:hAnsi="Arial"/>
          <w:b/>
          <w:bCs/>
          <w:color w:val="111827"/>
          <w:sz w:val="26"/>
          <w:szCs w:val="26"/>
        </w:rPr>
        <w:t xml:space="preserve">5.1 Dashboard Layout — 10 Required Elements</w:t>
      </w:r>
    </w:p>
    <w:p>
      <w:pPr>
        <w:spacing w:before="60" w:after="80"/>
      </w:pPr>
      <w:r>
        <w:rPr>
          <w:rFonts w:ascii="Arial" w:cs="Arial" w:eastAsia="Arial" w:hAnsi="Arial"/>
          <w:color w:val="4B5563"/>
          <w:sz w:val="22"/>
          <w:szCs w:val="22"/>
        </w:rPr>
        <w:t xml:space="preserve">The following elements must be present on the dashboard, ordered by visual priority (top to bottom):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1"/>
              <w:left w:val="single" w:color="DBEAFE" w:sz="1"/>
              <w:bottom w:val="single" w:color="DBEAFE" w:sz="1"/>
              <w:right w:val="single" w:color="DBEA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UI Element</w:t>
            </w:r>
          </w:p>
        </w:tc>
        <w:tc>
          <w:tcPr>
            <w:tcW w:type="dxa" w:w="4680"/>
            <w:tcBorders>
              <w:top w:val="single" w:color="DBEAFE" w:sz="1"/>
              <w:left w:val="single" w:color="DBEAFE" w:sz="1"/>
              <w:bottom w:val="single" w:color="DBEAFE" w:sz="1"/>
              <w:right w:val="single" w:color="DBEA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 &amp; Behaviour</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1. Total Active Policies Counter</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A prominent, large number displayed at the top of the screen. E.g., '4 Active Policies'. Tapping it navigates to My Wallet.</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2. Coverage Progress Circle</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A circular progress/donut chart representing overall protection completeness. Visual indicator only — not a precise metric. Color-coded (green = well covered, amber = gaps detected). Tapping opens AI Insights.</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3. Upcoming Renewals Timeline</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A horizontal scrollable timeline or card list showing the next 3 upcoming renewal/payment dates across all policies. Each card shows: policy type icon, insurer name, date, and premium amount.</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4. AI Insight Card</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A contextual 'Did you know?' tip card, dynamically generated based on the user's actual policies. Example: 'Your health policy includes a free annual check-up — have you used it this year?' Dismissable. Refreshes periodically.</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5. Quick Upload Button (+)</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A centrally-placed floating action button (FAB) or large CTA. The primary action of the app. Always visible. Opens the upload flow.</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6. Recent Documents</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A horizontally scrollable row of the most recently uploaded or modified policy PDFs. Thumbnail + policy name label. Tapping opens the document.</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7. Agent Link Status</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A small persistent status indicator (e.g., green icon + agent name) showing the user is connected to their agent. Tapping opens the Agent section.</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8. Health Check-up Reminder</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A specific nudge card (separate from the AI Insight Card) for health-specific benefits. E.g., 'Annual dental cleaning included — book yours.' Only shown if user has a health policy with such benefits.</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9. Savings Opportunities Badge</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A card or badge with a euro '€' icon and teaser text highlighting a detected savings opportunity (e.g., 'Possible duplicate coverage found — save ~€35'). High priority — should appear above the fold if a saving is detected.</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10. Help / Support Chat Link</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A persistent, easily accessible help button. Can be a floating icon or footer link. Opens in-app support chat.</w:t>
            </w:r>
          </w:p>
        </w:tc>
      </w:tr>
    </w:tbl>
    <w:p>
      <w:pPr>
        <w:spacing w:before="160"/>
      </w:pPr>
    </w:p>
    <w:p>
      <w:pPr>
        <w:pStyle w:val="Heading2"/>
        <w:spacing w:before="320" w:after="120"/>
      </w:pPr>
      <w:r>
        <w:rPr>
          <w:rFonts w:ascii="Arial" w:cs="Arial" w:eastAsia="Arial" w:hAnsi="Arial"/>
          <w:b/>
          <w:bCs/>
          <w:color w:val="111827"/>
          <w:sz w:val="26"/>
          <w:szCs w:val="26"/>
        </w:rPr>
        <w:t xml:space="preserve">5.2 Bottom Navigation</w:t>
      </w:r>
    </w:p>
    <w:p>
      <w:pPr>
        <w:spacing w:before="60" w:after="80"/>
      </w:pPr>
      <w:r>
        <w:rPr>
          <w:rFonts w:ascii="Arial" w:cs="Arial" w:eastAsia="Arial" w:hAnsi="Arial"/>
          <w:color w:val="4B5563"/>
          <w:sz w:val="22"/>
          <w:szCs w:val="22"/>
        </w:rPr>
        <w:t xml:space="preserve">Five-item bottom navigation bar. Always visible. Items: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1"/>
              <w:left w:val="single" w:color="DBEAFE" w:sz="1"/>
              <w:bottom w:val="single" w:color="DBEAFE" w:sz="1"/>
              <w:right w:val="single" w:color="DBEA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Tab</w:t>
            </w:r>
          </w:p>
        </w:tc>
        <w:tc>
          <w:tcPr>
            <w:tcW w:type="dxa" w:w="4680"/>
            <w:tcBorders>
              <w:top w:val="single" w:color="DBEAFE" w:sz="1"/>
              <w:left w:val="single" w:color="DBEAFE" w:sz="1"/>
              <w:bottom w:val="single" w:color="DBEAFE" w:sz="1"/>
              <w:right w:val="single" w:color="DBEA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Destination</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Home</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Dashboard (as described above)</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My Wallet</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Full policy portfolio list</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AI Insights</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Full AI analysis and gap detection view</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My Agent</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Agent connectivity and document sharing</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Settings</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Account, notifications, security, family sharing</w:t>
            </w:r>
          </w:p>
        </w:tc>
      </w:tr>
    </w:tbl>
    <w:p>
      <w:pPr>
        <w:pBdr>
          <w:bottom w:val="single" w:color="BFDBFE" w:sz="4" w:space="1"/>
        </w:pBdr>
        <w:spacing w:before="200" w:after="200"/>
      </w:pPr>
    </w:p>
    <w:p>
      <w:pPr>
        <w:pStyle w:val="Heading1"/>
        <w:spacing w:before="400" w:after="160"/>
      </w:pPr>
      <w:r>
        <w:rPr>
          <w:rFonts w:ascii="Arial" w:cs="Arial" w:eastAsia="Arial" w:hAnsi="Arial"/>
          <w:b/>
          <w:bCs/>
          <w:color w:val="1A56DB"/>
          <w:sz w:val="36"/>
          <w:szCs w:val="36"/>
        </w:rPr>
        <w:t xml:space="preserve">6. My Wallet — Policy Portfolio</w:t>
      </w:r>
    </w:p>
    <w:p>
      <w:pPr>
        <w:spacing w:before="60" w:after="80"/>
      </w:pPr>
      <w:r>
        <w:rPr>
          <w:rFonts w:ascii="Arial" w:cs="Arial" w:eastAsia="Arial" w:hAnsi="Arial"/>
          <w:color w:val="4B5563"/>
          <w:sz w:val="22"/>
          <w:szCs w:val="22"/>
        </w:rPr>
        <w:t xml:space="preserve">My Wallet is the user's primary repository. It contains all uploaded policies, organized by category. This is the screen users visit to find a specific coverage detail or look up a phone number.</w:t>
      </w:r>
    </w:p>
    <w:p>
      <w:pPr>
        <w:spacing w:before="120"/>
      </w:pPr>
    </w:p>
    <w:p>
      <w:pPr>
        <w:pStyle w:val="Heading2"/>
        <w:spacing w:before="320" w:after="120"/>
      </w:pPr>
      <w:r>
        <w:rPr>
          <w:rFonts w:ascii="Arial" w:cs="Arial" w:eastAsia="Arial" w:hAnsi="Arial"/>
          <w:b/>
          <w:bCs/>
          <w:color w:val="111827"/>
          <w:sz w:val="26"/>
          <w:szCs w:val="26"/>
        </w:rPr>
        <w:t xml:space="preserve">6.1 Portfolio List View</w:t>
      </w:r>
    </w:p>
    <w:p>
      <w:pPr>
        <w:pStyle w:val="ListParagraph"/>
        <w:numPr>
          <w:ilvl w:val="0"/>
          <w:numId w:val="2"/>
        </w:numPr>
        <w:spacing w:before="40" w:after="60"/>
      </w:pPr>
      <w:r>
        <w:rPr>
          <w:rFonts w:ascii="Arial" w:cs="Arial" w:eastAsia="Arial" w:hAnsi="Arial"/>
          <w:color w:val="4B5563"/>
          <w:sz w:val="22"/>
          <w:szCs w:val="22"/>
        </w:rPr>
        <w:t xml:space="preserve">Policies grouped by category with icon: Motor, Health, Home, Life (and any future types).</w:t>
      </w:r>
    </w:p>
    <w:p>
      <w:pPr>
        <w:pStyle w:val="ListParagraph"/>
        <w:numPr>
          <w:ilvl w:val="0"/>
          <w:numId w:val="2"/>
        </w:numPr>
        <w:spacing w:before="40" w:after="60"/>
      </w:pPr>
      <w:r>
        <w:rPr>
          <w:rFonts w:ascii="Arial" w:cs="Arial" w:eastAsia="Arial" w:hAnsi="Arial"/>
          <w:color w:val="4B5563"/>
          <w:sz w:val="22"/>
          <w:szCs w:val="22"/>
        </w:rPr>
        <w:t xml:space="preserve">Each policy card in the list shows: insurer logo/name, policy nickname (editable), policy number, expiry date, and a colored status dot (active / expiring soon / expired).</w:t>
      </w:r>
    </w:p>
    <w:p>
      <w:pPr>
        <w:pStyle w:val="ListParagraph"/>
        <w:numPr>
          <w:ilvl w:val="0"/>
          <w:numId w:val="2"/>
        </w:numPr>
        <w:spacing w:before="40" w:after="60"/>
      </w:pPr>
      <w:r>
        <w:rPr>
          <w:rFonts w:ascii="Arial" w:cs="Arial" w:eastAsia="Arial" w:hAnsi="Arial"/>
          <w:color w:val="4B5563"/>
          <w:sz w:val="22"/>
          <w:szCs w:val="22"/>
        </w:rPr>
        <w:t xml:space="preserve">A persistent search bar at the top to find policies or specific coverage keywords.</w:t>
      </w:r>
    </w:p>
    <w:p>
      <w:pPr>
        <w:pStyle w:val="ListParagraph"/>
        <w:numPr>
          <w:ilvl w:val="0"/>
          <w:numId w:val="2"/>
        </w:numPr>
        <w:spacing w:before="40" w:after="60"/>
      </w:pPr>
      <w:r>
        <w:rPr>
          <w:rFonts w:ascii="Arial" w:cs="Arial" w:eastAsia="Arial" w:hAnsi="Arial"/>
          <w:color w:val="4B5563"/>
          <w:sz w:val="22"/>
          <w:szCs w:val="22"/>
        </w:rPr>
        <w:t xml:space="preserve">A filter/sort control (by type, by renewal date, by insurer).</w:t>
      </w:r>
    </w:p>
    <w:p>
      <w:pPr>
        <w:spacing w:before="120"/>
      </w:pPr>
    </w:p>
    <w:p>
      <w:pPr>
        <w:pStyle w:val="Heading2"/>
        <w:spacing w:before="320" w:after="120"/>
      </w:pPr>
      <w:r>
        <w:rPr>
          <w:rFonts w:ascii="Arial" w:cs="Arial" w:eastAsia="Arial" w:hAnsi="Arial"/>
          <w:b/>
          <w:bCs/>
          <w:color w:val="111827"/>
          <w:sz w:val="26"/>
          <w:szCs w:val="26"/>
        </w:rPr>
        <w:t xml:space="preserve">6.2 Upload Flow — Step by Step</w:t>
      </w:r>
    </w:p>
    <w:p>
      <w:pPr>
        <w:spacing w:before="60" w:after="80"/>
      </w:pPr>
      <w:r>
        <w:rPr>
          <w:rFonts w:ascii="Arial" w:cs="Arial" w:eastAsia="Arial" w:hAnsi="Arial"/>
          <w:color w:val="4B5563"/>
          <w:sz w:val="22"/>
          <w:szCs w:val="22"/>
        </w:rPr>
        <w:t xml:space="preserve">Triggered by the '+' FAB from anywhere in the app. The upload experience must feel fast and reassuring. The '20-second AI read' is a key product moment.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1"/>
              <w:left w:val="single" w:color="DBEAFE" w:sz="1"/>
              <w:bottom w:val="single" w:color="DBEAFE" w:sz="1"/>
              <w:right w:val="single" w:color="DBEA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4680"/>
            <w:tcBorders>
              <w:top w:val="single" w:color="DBEAFE" w:sz="1"/>
              <w:left w:val="single" w:color="DBEAFE" w:sz="1"/>
              <w:bottom w:val="single" w:color="DBEAFE" w:sz="1"/>
              <w:right w:val="single" w:color="DBEA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UI Requirement</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1. Category Selection</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Prompt: 'What type of policy is this?' Show large icon tiles: Motor, Health, Home, Life, Other. Single tap to select.</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2. File Selection</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Open native file picker (phone's Files app). Accept PDF. Also support camera capture (for photographing a physical document).</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3. Upload &amp; AI Processing</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Show an animated progress state with reassuring copy: 'Reading your policy...' Duration: up to ~20 seconds. Do not show a blank loading spinner — use a branded animation.</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4. AI Summary Confirmation</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Display extracted key fields for user to confirm: Policy type, insurer name, policy number, premium amount, expiry date, vehicle plate (if Motor). User can edit any field. CTA: 'Save to Wallet'.</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5. Success State</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Celebratory micro-animation. Show 'Policy Added' confirmation. Offer immediate next actions: 'Analyze Coverage' or 'Share with Agent'.</w:t>
            </w:r>
          </w:p>
        </w:tc>
      </w:tr>
    </w:tbl>
    <w:p>
      <w:pPr>
        <w:spacing w:before="160"/>
      </w:pPr>
    </w:p>
    <w:p>
      <w:pPr>
        <w:pStyle w:val="Heading2"/>
        <w:spacing w:before="320" w:after="120"/>
      </w:pPr>
      <w:r>
        <w:rPr>
          <w:rFonts w:ascii="Arial" w:cs="Arial" w:eastAsia="Arial" w:hAnsi="Arial"/>
          <w:b/>
          <w:bCs/>
          <w:color w:val="111827"/>
          <w:sz w:val="26"/>
          <w:szCs w:val="26"/>
        </w:rPr>
        <w:t xml:space="preserve">6.3 Policy Detail View</w:t>
      </w:r>
    </w:p>
    <w:p>
      <w:pPr>
        <w:spacing w:before="60" w:after="80"/>
      </w:pPr>
      <w:r>
        <w:rPr>
          <w:rFonts w:ascii="Arial" w:cs="Arial" w:eastAsia="Arial" w:hAnsi="Arial"/>
          <w:color w:val="4B5563"/>
          <w:sz w:val="22"/>
          <w:szCs w:val="22"/>
        </w:rPr>
        <w:t xml:space="preserve">The policy detail view is the core value delivery screen. It must transform a 20-page legal PDF into an immediately useful, plain-language summary. The first time a user views this screen is a pivotal 'aha moment' — the design must feel genuinely revelatory.</w:t>
      </w:r>
    </w:p>
    <w:p>
      <w:pPr>
        <w:spacing w:before="80"/>
      </w:pPr>
    </w:p>
    <w:p>
      <w:pPr>
        <w:spacing w:before="60" w:after="80"/>
      </w:pPr>
      <w:r>
        <w:rPr>
          <w:rFonts w:ascii="Arial" w:cs="Arial" w:eastAsia="Arial" w:hAnsi="Arial"/>
          <w:b/>
          <w:bCs/>
          <w:color w:val="4B5563"/>
          <w:sz w:val="22"/>
          <w:szCs w:val="22"/>
        </w:rPr>
        <w:t xml:space="preserve">The view is split into two primary tabs:</w:t>
      </w:r>
    </w:p>
    <w:p>
      <w:pPr>
        <w:pStyle w:val="ListParagraph"/>
        <w:numPr>
          <w:ilvl w:val="0"/>
          <w:numId w:val="2"/>
        </w:numPr>
        <w:spacing w:before="40" w:after="60"/>
      </w:pPr>
      <w:r>
        <w:rPr>
          <w:rFonts w:ascii="Arial" w:cs="Arial" w:eastAsia="Arial" w:hAnsi="Arial"/>
          <w:color w:val="4B5563"/>
          <w:sz w:val="22"/>
          <w:szCs w:val="22"/>
        </w:rPr>
        <w:t xml:space="preserve">What's Covered — a clean, scannable list of covered items/events.</w:t>
      </w:r>
    </w:p>
    <w:p>
      <w:pPr>
        <w:pStyle w:val="ListParagraph"/>
        <w:numPr>
          <w:ilvl w:val="0"/>
          <w:numId w:val="2"/>
        </w:numPr>
        <w:spacing w:before="40" w:after="60"/>
      </w:pPr>
      <w:r>
        <w:rPr>
          <w:rFonts w:ascii="Arial" w:cs="Arial" w:eastAsia="Arial" w:hAnsi="Arial"/>
          <w:color w:val="4B5563"/>
          <w:sz w:val="22"/>
          <w:szCs w:val="22"/>
        </w:rPr>
        <w:t xml:space="preserve">What's NOT Covered — exclusions, clearly labeled.</w:t>
      </w:r>
    </w:p>
    <w:p>
      <w:pPr>
        <w:spacing w:before="80"/>
      </w:pPr>
    </w:p>
    <w:p>
      <w:pPr>
        <w:spacing w:before="60" w:after="80"/>
      </w:pPr>
      <w:r>
        <w:rPr>
          <w:rFonts w:ascii="Arial" w:cs="Arial" w:eastAsia="Arial" w:hAnsi="Arial"/>
          <w:color w:val="4B5563"/>
          <w:sz w:val="22"/>
          <w:szCs w:val="22"/>
        </w:rPr>
        <w:t xml:space="preserve">The following 15 data fields must be surfaced as structured, labeled UI components (not buried in text). Prioritize these in the layout: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1"/>
              <w:left w:val="single" w:color="DBEAFE" w:sz="1"/>
              <w:bottom w:val="single" w:color="DBEAFE" w:sz="1"/>
              <w:right w:val="single" w:color="DBEA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4680"/>
            <w:tcBorders>
              <w:top w:val="single" w:color="DBEAFE" w:sz="1"/>
              <w:left w:val="single" w:color="DBEAFE" w:sz="1"/>
              <w:bottom w:val="single" w:color="DBEAFE" w:sz="1"/>
              <w:right w:val="single" w:color="DBEA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Policy Type(s)</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Renewal / Expiry Date</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All</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Premium Amount</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All</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Policy Number</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All</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Customer Support Phone Number</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All (tap-to-call)</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Deductible / Excess Amount</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Motor, Home</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Third-Party Liability Limits</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Motor</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Roadside Assistance Number</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Motor (highlight prominently — cited as 'crucial')</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Glass / Screen Breakage Cover</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Motor, Home</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Theft Coverage Limit</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Home</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Earthquake Cover Status</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Home (on/off badge — high relevance in seismic regions)</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Hospital Room Class</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Health</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Outpatient Coverage Limit</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Health</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Direct Billing Hospital Network</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Health (searchable list)</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Waiting Periods</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Health (clearly labeled per benefit)</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AI Gap Alert</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All — a highlighted banner if a coverage gap is detected, e.g., 'You lack Flood coverage in a high-risk area.'</w:t>
            </w:r>
          </w:p>
        </w:tc>
      </w:tr>
    </w:tbl>
    <w:p>
      <w:pPr>
        <w:spacing w:before="160"/>
      </w:pPr>
    </w:p>
    <w:p>
      <w:pPr>
        <w:pStyle w:val="Heading2"/>
        <w:spacing w:before="320" w:after="120"/>
      </w:pPr>
      <w:r>
        <w:rPr>
          <w:rFonts w:ascii="Arial" w:cs="Arial" w:eastAsia="Arial" w:hAnsi="Arial"/>
          <w:b/>
          <w:bCs/>
          <w:color w:val="111827"/>
          <w:sz w:val="26"/>
          <w:szCs w:val="26"/>
        </w:rPr>
        <w:t xml:space="preserve">6.4 In-Policy Actions (CTAs)</w:t>
      </w:r>
    </w:p>
    <w:p>
      <w:pPr>
        <w:spacing w:before="60" w:after="80"/>
      </w:pPr>
      <w:r>
        <w:rPr>
          <w:rFonts w:ascii="Arial" w:cs="Arial" w:eastAsia="Arial" w:hAnsi="Arial"/>
          <w:color w:val="4B5563"/>
          <w:sz w:val="22"/>
          <w:szCs w:val="22"/>
        </w:rPr>
        <w:t xml:space="preserve">Within the policy detail view, the following action buttons must be accessible:</w:t>
      </w:r>
    </w:p>
    <w:p>
      <w:pPr>
        <w:pStyle w:val="ListParagraph"/>
        <w:numPr>
          <w:ilvl w:val="0"/>
          <w:numId w:val="2"/>
        </w:numPr>
        <w:spacing w:before="40" w:after="60"/>
      </w:pPr>
      <w:r>
        <w:rPr>
          <w:rFonts w:ascii="Arial" w:cs="Arial" w:eastAsia="Arial" w:hAnsi="Arial"/>
          <w:color w:val="4B5563"/>
          <w:sz w:val="22"/>
          <w:szCs w:val="22"/>
        </w:rPr>
        <w:t xml:space="preserve">Analyze Coverage — triggers a full AI scan of this specific policy.</w:t>
      </w:r>
    </w:p>
    <w:p>
      <w:pPr>
        <w:pStyle w:val="ListParagraph"/>
        <w:numPr>
          <w:ilvl w:val="0"/>
          <w:numId w:val="2"/>
        </w:numPr>
        <w:spacing w:before="40" w:after="60"/>
      </w:pPr>
      <w:r>
        <w:rPr>
          <w:rFonts w:ascii="Arial" w:cs="Arial" w:eastAsia="Arial" w:hAnsi="Arial"/>
          <w:color w:val="4B5563"/>
          <w:sz w:val="22"/>
          <w:szCs w:val="22"/>
        </w:rPr>
        <w:t xml:space="preserve">Share with Agent — opens agent sharing flow for this document.</w:t>
      </w:r>
    </w:p>
    <w:p>
      <w:pPr>
        <w:pStyle w:val="ListParagraph"/>
        <w:numPr>
          <w:ilvl w:val="0"/>
          <w:numId w:val="2"/>
        </w:numPr>
        <w:spacing w:before="40" w:after="60"/>
      </w:pPr>
      <w:r>
        <w:rPr>
          <w:rFonts w:ascii="Arial" w:cs="Arial" w:eastAsia="Arial" w:hAnsi="Arial"/>
          <w:color w:val="4B5563"/>
          <w:sz w:val="22"/>
          <w:szCs w:val="22"/>
        </w:rPr>
        <w:t xml:space="preserve">View Health Benefits — for health policies; surfaces covered doctors/hospitals.</w:t>
      </w:r>
    </w:p>
    <w:p>
      <w:pPr>
        <w:pStyle w:val="ListParagraph"/>
        <w:numPr>
          <w:ilvl w:val="0"/>
          <w:numId w:val="2"/>
        </w:numPr>
        <w:spacing w:before="40" w:after="60"/>
      </w:pPr>
      <w:r>
        <w:rPr>
          <w:rFonts w:ascii="Arial" w:cs="Arial" w:eastAsia="Arial" w:hAnsi="Arial"/>
          <w:color w:val="4B5563"/>
          <w:sz w:val="22"/>
          <w:szCs w:val="22"/>
        </w:rPr>
        <w:t xml:space="preserve">Download Card — generates a digital insurance card (e.g., motor insurance card). Downloadable as an image to phone's camera roll.</w:t>
      </w:r>
    </w:p>
    <w:p>
      <w:pPr>
        <w:pStyle w:val="ListParagraph"/>
        <w:numPr>
          <w:ilvl w:val="0"/>
          <w:numId w:val="2"/>
        </w:numPr>
        <w:spacing w:before="40" w:after="60"/>
      </w:pPr>
      <w:r>
        <w:rPr>
          <w:rFonts w:ascii="Arial" w:cs="Arial" w:eastAsia="Arial" w:hAnsi="Arial"/>
          <w:color w:val="4B5563"/>
          <w:sz w:val="22"/>
          <w:szCs w:val="22"/>
        </w:rPr>
        <w:t xml:space="preserve">Renew Now — a deep link to the insurer's payment or renewal page (external browser).</w:t>
      </w:r>
    </w:p>
    <w:p>
      <w:pPr>
        <w:pStyle w:val="ListParagraph"/>
        <w:numPr>
          <w:ilvl w:val="0"/>
          <w:numId w:val="2"/>
        </w:numPr>
        <w:spacing w:before="40" w:after="60"/>
      </w:pPr>
      <w:r>
        <w:rPr>
          <w:rFonts w:ascii="Arial" w:cs="Arial" w:eastAsia="Arial" w:hAnsi="Arial"/>
          <w:color w:val="4B5563"/>
          <w:sz w:val="22"/>
          <w:szCs w:val="22"/>
        </w:rPr>
        <w:t xml:space="preserve">Add Note — a free-text field for the user's own annotations (e.g., 'Car last serviced: March 2025').</w:t>
      </w:r>
    </w:p>
    <w:p>
      <w:pPr>
        <w:pStyle w:val="ListParagraph"/>
        <w:numPr>
          <w:ilvl w:val="0"/>
          <w:numId w:val="2"/>
        </w:numPr>
        <w:spacing w:before="40" w:after="60"/>
      </w:pPr>
      <w:r>
        <w:rPr>
          <w:rFonts w:ascii="Arial" w:cs="Arial" w:eastAsia="Arial" w:hAnsi="Arial"/>
          <w:color w:val="4B5563"/>
          <w:sz w:val="22"/>
          <w:szCs w:val="22"/>
        </w:rPr>
        <w:t xml:space="preserve">Compare — side-by-side view of this policy vs. a previous version (for renewals).</w:t>
      </w:r>
    </w:p>
    <w:p>
      <w:pPr>
        <w:pBdr>
          <w:bottom w:val="single" w:color="BFDBFE" w:sz="4" w:space="1"/>
        </w:pBdr>
        <w:spacing w:before="200" w:after="200"/>
      </w:pPr>
    </w:p>
    <w:p>
      <w:pPr>
        <w:pStyle w:val="Heading1"/>
        <w:spacing w:before="400" w:after="160"/>
      </w:pPr>
      <w:r>
        <w:rPr>
          <w:rFonts w:ascii="Arial" w:cs="Arial" w:eastAsia="Arial" w:hAnsi="Arial"/>
          <w:b/>
          <w:bCs/>
          <w:color w:val="1A56DB"/>
          <w:sz w:val="36"/>
          <w:szCs w:val="36"/>
        </w:rPr>
        <w:t xml:space="preserve">7. AI Insights</w:t>
      </w:r>
    </w:p>
    <w:p>
      <w:pPr>
        <w:spacing w:before="60" w:after="80"/>
      </w:pPr>
      <w:r>
        <w:rPr>
          <w:rFonts w:ascii="Arial" w:cs="Arial" w:eastAsia="Arial" w:hAnsi="Arial"/>
          <w:color w:val="4B5563"/>
          <w:sz w:val="22"/>
          <w:szCs w:val="22"/>
        </w:rPr>
        <w:t xml:space="preserve">The AI Insights section is a core differentiator. It translates complex policy language and cross-policy data into actionable, plain-language intelligence. It must feel helpful and proactive — not intrusive or alarming.</w:t>
      </w:r>
    </w:p>
    <w:p>
      <w:pPr>
        <w:spacing w:before="120"/>
      </w:pPr>
    </w:p>
    <w:p>
      <w:pPr>
        <w:pStyle w:val="Heading2"/>
        <w:spacing w:before="320" w:after="120"/>
      </w:pPr>
      <w:r>
        <w:rPr>
          <w:rFonts w:ascii="Arial" w:cs="Arial" w:eastAsia="Arial" w:hAnsi="Arial"/>
          <w:b/>
          <w:bCs/>
          <w:color w:val="111827"/>
          <w:sz w:val="26"/>
          <w:szCs w:val="26"/>
        </w:rPr>
        <w:t xml:space="preserve">7.1 Insight Types</w:t>
      </w:r>
    </w:p>
    <w:p>
      <w:pPr>
        <w:spacing w:before="60" w:after="80"/>
      </w:pPr>
      <w:r>
        <w:rPr>
          <w:rFonts w:ascii="Arial" w:cs="Arial" w:eastAsia="Arial" w:hAnsi="Arial"/>
          <w:color w:val="4B5563"/>
          <w:sz w:val="22"/>
          <w:szCs w:val="22"/>
        </w:rPr>
        <w:t xml:space="preserve">The AI surfaces three categories of insight, each with a distinct visual treatment: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1"/>
              <w:left w:val="single" w:color="DBEAFE" w:sz="1"/>
              <w:bottom w:val="single" w:color="DBEAFE" w:sz="1"/>
              <w:right w:val="single" w:color="DBEA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Insight Type</w:t>
            </w:r>
          </w:p>
        </w:tc>
        <w:tc>
          <w:tcPr>
            <w:tcW w:type="dxa" w:w="4680"/>
            <w:tcBorders>
              <w:top w:val="single" w:color="DBEAFE" w:sz="1"/>
              <w:left w:val="single" w:color="DBEAFE" w:sz="1"/>
              <w:bottom w:val="single" w:color="DBEAFE" w:sz="1"/>
              <w:right w:val="single" w:color="DBEA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Example &amp; UI Treatment</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Gap Alert (Red/Amber)</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You lack Flood coverage. Your home is in a high-risk area. — Red banner card with a clear CTA: 'Ask Your Agent'.</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Savings Opportunity (Green/Euro icon)</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You are paying for Roadside Assistance on both your Motor and Home policies. Canceling one could save ~€35/year. — Green card with CTA: 'Review Duplicate'.</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Benefit Reminder (Blue)</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Your health policy includes a free annual dental cleaning. You haven't used it this year. — Blue card with CTA: 'View Benefit Details'.</w:t>
            </w:r>
          </w:p>
        </w:tc>
      </w:tr>
    </w:tbl>
    <w:p>
      <w:pPr>
        <w:spacing w:before="160"/>
      </w:pPr>
    </w:p>
    <w:p>
      <w:pPr>
        <w:pStyle w:val="Heading2"/>
        <w:spacing w:before="320" w:after="120"/>
      </w:pPr>
      <w:r>
        <w:rPr>
          <w:rFonts w:ascii="Arial" w:cs="Arial" w:eastAsia="Arial" w:hAnsi="Arial"/>
          <w:b/>
          <w:bCs/>
          <w:color w:val="111827"/>
          <w:sz w:val="26"/>
          <w:szCs w:val="26"/>
        </w:rPr>
        <w:t xml:space="preserve">7.2 Insight Cards</w:t>
      </w:r>
    </w:p>
    <w:p>
      <w:pPr>
        <w:pStyle w:val="ListParagraph"/>
        <w:numPr>
          <w:ilvl w:val="0"/>
          <w:numId w:val="2"/>
        </w:numPr>
        <w:spacing w:before="40" w:after="60"/>
      </w:pPr>
      <w:r>
        <w:rPr>
          <w:rFonts w:ascii="Arial" w:cs="Arial" w:eastAsia="Arial" w:hAnsi="Arial"/>
          <w:color w:val="4B5563"/>
          <w:sz w:val="22"/>
          <w:szCs w:val="22"/>
        </w:rPr>
        <w:t xml:space="preserve">Each insight is a card with: icon, headline (one sentence), brief explanation (2–3 sentences in plain language), and a primary CTA.</w:t>
      </w:r>
    </w:p>
    <w:p>
      <w:pPr>
        <w:pStyle w:val="ListParagraph"/>
        <w:numPr>
          <w:ilvl w:val="0"/>
          <w:numId w:val="2"/>
        </w:numPr>
        <w:spacing w:before="40" w:after="60"/>
      </w:pPr>
      <w:r>
        <w:rPr>
          <w:rFonts w:ascii="Arial" w:cs="Arial" w:eastAsia="Arial" w:hAnsi="Arial"/>
          <w:color w:val="4B5563"/>
          <w:sz w:val="22"/>
          <w:szCs w:val="22"/>
        </w:rPr>
        <w:t xml:space="preserve">Cards are dismissable. Dismissed cards go to an archive.</w:t>
      </w:r>
    </w:p>
    <w:p>
      <w:pPr>
        <w:pStyle w:val="ListParagraph"/>
        <w:numPr>
          <w:ilvl w:val="0"/>
          <w:numId w:val="2"/>
        </w:numPr>
        <w:spacing w:before="40" w:after="60"/>
      </w:pPr>
      <w:r>
        <w:rPr>
          <w:rFonts w:ascii="Arial" w:cs="Arial" w:eastAsia="Arial" w:hAnsi="Arial"/>
          <w:color w:val="4B5563"/>
          <w:sz w:val="22"/>
          <w:szCs w:val="22"/>
        </w:rPr>
        <w:t xml:space="preserve">The AI explains 'Fine Print' — complex clauses rendered in plain, approachable language. No legal jargon in the UI.</w:t>
      </w:r>
    </w:p>
    <w:p>
      <w:pPr>
        <w:pStyle w:val="ListParagraph"/>
        <w:numPr>
          <w:ilvl w:val="0"/>
          <w:numId w:val="2"/>
        </w:numPr>
        <w:spacing w:before="40" w:after="60"/>
      </w:pPr>
      <w:r>
        <w:rPr>
          <w:rFonts w:ascii="Arial" w:cs="Arial" w:eastAsia="Arial" w:hAnsi="Arial"/>
          <w:color w:val="4B5563"/>
          <w:sz w:val="22"/>
          <w:szCs w:val="22"/>
        </w:rPr>
        <w:t xml:space="preserve">A dedicated 'Analyze Coverage' button triggers a fresh AI scan across all policies.</w:t>
      </w:r>
    </w:p>
    <w:p>
      <w:pPr>
        <w:pBdr>
          <w:bottom w:val="single" w:color="BFDBFE" w:sz="4" w:space="1"/>
        </w:pBdr>
        <w:spacing w:before="200" w:after="200"/>
      </w:pPr>
    </w:p>
    <w:p>
      <w:pPr>
        <w:pStyle w:val="Heading1"/>
        <w:spacing w:before="400" w:after="160"/>
      </w:pPr>
      <w:r>
        <w:rPr>
          <w:rFonts w:ascii="Arial" w:cs="Arial" w:eastAsia="Arial" w:hAnsi="Arial"/>
          <w:b/>
          <w:bCs/>
          <w:color w:val="1A56DB"/>
          <w:sz w:val="36"/>
          <w:szCs w:val="36"/>
        </w:rPr>
        <w:t xml:space="preserve">8. My Agent</w:t>
      </w:r>
    </w:p>
    <w:p>
      <w:pPr>
        <w:spacing w:before="60" w:after="80"/>
      </w:pPr>
      <w:r>
        <w:rPr>
          <w:rFonts w:ascii="Arial" w:cs="Arial" w:eastAsia="Arial" w:hAnsi="Arial"/>
          <w:color w:val="4B5563"/>
          <w:sz w:val="22"/>
          <w:szCs w:val="22"/>
        </w:rPr>
        <w:t xml:space="preserve">The agent connectivity feature bridges the user's digital wallet with their insurance professional. It must feel controlled and transparent — users initially worry about giving agents full visibility; the UI must make selective sharing intuitive and safe.</w:t>
      </w:r>
    </w:p>
    <w:p>
      <w:pPr>
        <w:spacing w:before="120"/>
      </w:pPr>
    </w:p>
    <w:p>
      <w:pPr>
        <w:pStyle w:val="Heading2"/>
        <w:spacing w:before="320" w:after="120"/>
      </w:pPr>
      <w:r>
        <w:rPr>
          <w:rFonts w:ascii="Arial" w:cs="Arial" w:eastAsia="Arial" w:hAnsi="Arial"/>
          <w:b/>
          <w:bCs/>
          <w:color w:val="111827"/>
          <w:sz w:val="26"/>
          <w:szCs w:val="26"/>
        </w:rPr>
        <w:t xml:space="preserve">8.1 Connection Status</w:t>
      </w:r>
    </w:p>
    <w:p>
      <w:pPr>
        <w:pStyle w:val="ListParagraph"/>
        <w:numPr>
          <w:ilvl w:val="0"/>
          <w:numId w:val="2"/>
        </w:numPr>
        <w:spacing w:before="40" w:after="60"/>
      </w:pPr>
      <w:r>
        <w:rPr>
          <w:rFonts w:ascii="Arial" w:cs="Arial" w:eastAsia="Arial" w:hAnsi="Arial"/>
          <w:color w:val="4B5563"/>
          <w:sz w:val="22"/>
          <w:szCs w:val="22"/>
        </w:rPr>
        <w:t xml:space="preserve">A clear connection status indicator: Connected (green) / Not Connected (grey).</w:t>
      </w:r>
    </w:p>
    <w:p>
      <w:pPr>
        <w:pStyle w:val="ListParagraph"/>
        <w:numPr>
          <w:ilvl w:val="0"/>
          <w:numId w:val="2"/>
        </w:numPr>
        <w:spacing w:before="40" w:after="60"/>
      </w:pPr>
      <w:r>
        <w:rPr>
          <w:rFonts w:ascii="Arial" w:cs="Arial" w:eastAsia="Arial" w:hAnsi="Arial"/>
          <w:color w:val="4B5563"/>
          <w:sz w:val="22"/>
          <w:szCs w:val="22"/>
        </w:rPr>
        <w:t xml:space="preserve">Agent's name, photo (if available), and contact info displayed when connected.</w:t>
      </w:r>
    </w:p>
    <w:p>
      <w:pPr>
        <w:pStyle w:val="ListParagraph"/>
        <w:numPr>
          <w:ilvl w:val="0"/>
          <w:numId w:val="2"/>
        </w:numPr>
        <w:spacing w:before="40" w:after="60"/>
      </w:pPr>
      <w:r>
        <w:rPr>
          <w:rFonts w:ascii="Arial" w:cs="Arial" w:eastAsia="Arial" w:hAnsi="Arial"/>
          <w:color w:val="4B5563"/>
          <w:sz w:val="22"/>
          <w:szCs w:val="22"/>
        </w:rPr>
        <w:t xml:space="preserve">'Last activity' timestamp: e.g., 'Your agent added a document 2 days ago.'</w:t>
      </w:r>
    </w:p>
    <w:p>
      <w:pPr>
        <w:spacing w:before="120"/>
      </w:pPr>
    </w:p>
    <w:p>
      <w:pPr>
        <w:pStyle w:val="Heading2"/>
        <w:spacing w:before="320" w:after="120"/>
      </w:pPr>
      <w:r>
        <w:rPr>
          <w:rFonts w:ascii="Arial" w:cs="Arial" w:eastAsia="Arial" w:hAnsi="Arial"/>
          <w:b/>
          <w:bCs/>
          <w:color w:val="111827"/>
          <w:sz w:val="26"/>
          <w:szCs w:val="26"/>
        </w:rPr>
        <w:t xml:space="preserve">8.2 Sharing Controls — Critical UX Requirement</w:t>
      </w:r>
    </w:p>
    <w:p>
      <w:pPr>
        <w:spacing w:before="60" w:after="80"/>
      </w:pPr>
      <w:r>
        <w:rPr>
          <w:rFonts w:ascii="Arial" w:cs="Arial" w:eastAsia="Arial" w:hAnsi="Arial"/>
          <w:color w:val="4B5563"/>
          <w:sz w:val="22"/>
          <w:szCs w:val="22"/>
        </w:rPr>
        <w:t xml:space="preserve">The user must have granular control over what the agent can see. This resolves the primary trust concern.</w:t>
      </w:r>
    </w:p>
    <w:p>
      <w:pPr>
        <w:pStyle w:val="ListParagraph"/>
        <w:numPr>
          <w:ilvl w:val="0"/>
          <w:numId w:val="2"/>
        </w:numPr>
        <w:spacing w:before="40" w:after="60"/>
      </w:pPr>
      <w:r>
        <w:rPr>
          <w:rFonts w:ascii="Arial" w:cs="Arial" w:eastAsia="Arial" w:hAnsi="Arial"/>
          <w:color w:val="4B5563"/>
          <w:sz w:val="22"/>
          <w:szCs w:val="22"/>
        </w:rPr>
        <w:t xml:space="preserve">Per-policy sharing toggle: each policy in the wallet has an on/off toggle for agent visibility.</w:t>
      </w:r>
    </w:p>
    <w:p>
      <w:pPr>
        <w:pStyle w:val="ListParagraph"/>
        <w:numPr>
          <w:ilvl w:val="0"/>
          <w:numId w:val="2"/>
        </w:numPr>
        <w:spacing w:before="40" w:after="60"/>
      </w:pPr>
      <w:r>
        <w:rPr>
          <w:rFonts w:ascii="Arial" w:cs="Arial" w:eastAsia="Arial" w:hAnsi="Arial"/>
          <w:color w:val="4B5563"/>
          <w:sz w:val="22"/>
          <w:szCs w:val="22"/>
        </w:rPr>
        <w:t xml:space="preserve">Example: Motor = Shared, Home = Shared, Health = Shared, Life = Private (off).</w:t>
      </w:r>
    </w:p>
    <w:p>
      <w:pPr>
        <w:pStyle w:val="ListParagraph"/>
        <w:numPr>
          <w:ilvl w:val="0"/>
          <w:numId w:val="2"/>
        </w:numPr>
        <w:spacing w:before="40" w:after="60"/>
      </w:pPr>
      <w:r>
        <w:rPr>
          <w:rFonts w:ascii="Arial" w:cs="Arial" w:eastAsia="Arial" w:hAnsi="Arial"/>
          <w:color w:val="4B5563"/>
          <w:sz w:val="22"/>
          <w:szCs w:val="22"/>
        </w:rPr>
        <w:t xml:space="preserve">A clear visual distinction between 'shared' and 'private' policies in the agent view.</w:t>
      </w:r>
    </w:p>
    <w:p>
      <w:pPr>
        <w:pStyle w:val="ListParagraph"/>
        <w:numPr>
          <w:ilvl w:val="0"/>
          <w:numId w:val="2"/>
        </w:numPr>
        <w:spacing w:before="40" w:after="60"/>
      </w:pPr>
      <w:r>
        <w:rPr>
          <w:rFonts w:ascii="Arial" w:cs="Arial" w:eastAsia="Arial" w:hAnsi="Arial"/>
          <w:color w:val="4B5563"/>
          <w:sz w:val="22"/>
          <w:szCs w:val="22"/>
        </w:rPr>
        <w:t xml:space="preserve">The agent view must be explicitly labeled — e.g., 'What your agent can see.'</w:t>
      </w:r>
    </w:p>
    <w:p>
      <w:pPr>
        <w:spacing w:before="120"/>
      </w:pPr>
    </w:p>
    <w:p>
      <w:pPr>
        <w:pStyle w:val="Heading2"/>
        <w:spacing w:before="320" w:after="120"/>
      </w:pPr>
      <w:r>
        <w:rPr>
          <w:rFonts w:ascii="Arial" w:cs="Arial" w:eastAsia="Arial" w:hAnsi="Arial"/>
          <w:b/>
          <w:bCs/>
          <w:color w:val="111827"/>
          <w:sz w:val="26"/>
          <w:szCs w:val="26"/>
        </w:rPr>
        <w:t xml:space="preserve">8.3 Agent Actions</w:t>
      </w:r>
    </w:p>
    <w:p>
      <w:pPr>
        <w:spacing w:before="60" w:after="80"/>
      </w:pPr>
      <w:r>
        <w:rPr>
          <w:rFonts w:ascii="Arial" w:cs="Arial" w:eastAsia="Arial" w:hAnsi="Arial"/>
          <w:color w:val="4B5563"/>
          <w:sz w:val="22"/>
          <w:szCs w:val="22"/>
        </w:rPr>
        <w:t xml:space="preserve">Agents can perform limited actions within the platform on behalf of the user. The user must receive a push notification for every agent action.</w:t>
      </w:r>
    </w:p>
    <w:p>
      <w:pPr>
        <w:pStyle w:val="ListParagraph"/>
        <w:numPr>
          <w:ilvl w:val="0"/>
          <w:numId w:val="2"/>
        </w:numPr>
        <w:spacing w:before="40" w:after="60"/>
      </w:pPr>
      <w:r>
        <w:rPr>
          <w:rFonts w:ascii="Arial" w:cs="Arial" w:eastAsia="Arial" w:hAnsi="Arial"/>
          <w:color w:val="4B5563"/>
          <w:sz w:val="22"/>
          <w:szCs w:val="22"/>
        </w:rPr>
        <w:t xml:space="preserve">Agent uploads a document (e.g., updated Green Card / policy renewal) — user gets notification: 'Your agent has added a new document.'</w:t>
      </w:r>
    </w:p>
    <w:p>
      <w:pPr>
        <w:pStyle w:val="ListParagraph"/>
        <w:numPr>
          <w:ilvl w:val="0"/>
          <w:numId w:val="2"/>
        </w:numPr>
        <w:spacing w:before="40" w:after="60"/>
      </w:pPr>
      <w:r>
        <w:rPr>
          <w:rFonts w:ascii="Arial" w:cs="Arial" w:eastAsia="Arial" w:hAnsi="Arial"/>
          <w:color w:val="4B5563"/>
          <w:sz w:val="22"/>
          <w:szCs w:val="22"/>
        </w:rPr>
        <w:t xml:space="preserve">Agent flags a change in a policy — user can view flagged items highlighted in the policy detail view.</w:t>
      </w:r>
    </w:p>
    <w:p>
      <w:pPr>
        <w:pStyle w:val="ListParagraph"/>
        <w:numPr>
          <w:ilvl w:val="0"/>
          <w:numId w:val="2"/>
        </w:numPr>
        <w:spacing w:before="40" w:after="60"/>
      </w:pPr>
      <w:r>
        <w:rPr>
          <w:rFonts w:ascii="Arial" w:cs="Arial" w:eastAsia="Arial" w:hAnsi="Arial"/>
          <w:color w:val="4B5563"/>
          <w:sz w:val="22"/>
          <w:szCs w:val="22"/>
        </w:rPr>
        <w:t xml:space="preserve">User can send a specific document to their agent from within the app (Share with Agent CTA).</w:t>
      </w:r>
    </w:p>
    <w:p>
      <w:pPr>
        <w:pStyle w:val="ListParagraph"/>
        <w:numPr>
          <w:ilvl w:val="0"/>
          <w:numId w:val="2"/>
        </w:numPr>
        <w:spacing w:before="40" w:after="60"/>
      </w:pPr>
      <w:r>
        <w:rPr>
          <w:rFonts w:ascii="Arial" w:cs="Arial" w:eastAsia="Arial" w:hAnsi="Arial"/>
          <w:color w:val="4B5563"/>
          <w:sz w:val="22"/>
          <w:szCs w:val="22"/>
        </w:rPr>
        <w:t xml:space="preserve">Communication log: a simple in-app thread showing document exchanges between user and agent.</w:t>
      </w:r>
    </w:p>
    <w:p>
      <w:pPr>
        <w:spacing w:before="120"/>
      </w:pPr>
    </w:p>
    <w:p>
      <w:pPr>
        <w:pStyle w:val="Heading2"/>
        <w:spacing w:before="320" w:after="120"/>
      </w:pPr>
      <w:r>
        <w:rPr>
          <w:rFonts w:ascii="Arial" w:cs="Arial" w:eastAsia="Arial" w:hAnsi="Arial"/>
          <w:b/>
          <w:bCs/>
          <w:color w:val="111827"/>
          <w:sz w:val="26"/>
          <w:szCs w:val="26"/>
        </w:rPr>
        <w:t xml:space="preserve">8.4 Sharing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1"/>
              <w:left w:val="single" w:color="DBEAFE" w:sz="1"/>
              <w:bottom w:val="single" w:color="DBEAFE" w:sz="1"/>
              <w:right w:val="single" w:color="DBEA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4680"/>
            <w:tcBorders>
              <w:top w:val="single" w:color="DBEAFE" w:sz="1"/>
              <w:left w:val="single" w:color="DBEAFE" w:sz="1"/>
              <w:bottom w:val="single" w:color="DBEAFE" w:sz="1"/>
              <w:right w:val="single" w:color="DBEA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UI Requirement</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1. Select Document</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User chooses which policy/document to share from their Wallet.</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2. Confirm Recipient</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Shows agent's name and contact details. Clear confirmation prompt.</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3. Sent Confirmation</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Visual confirmation with timestamp. Document marked as 'Shared with [Agent Name]' in the Wallet.</w:t>
            </w:r>
          </w:p>
        </w:tc>
      </w:tr>
    </w:tbl>
    <w:p>
      <w:pPr>
        <w:pBdr>
          <w:bottom w:val="single" w:color="BFDBFE" w:sz="4" w:space="1"/>
        </w:pBdr>
        <w:spacing w:before="200" w:after="200"/>
      </w:pPr>
    </w:p>
    <w:p>
      <w:pPr>
        <w:pStyle w:val="Heading1"/>
        <w:spacing w:before="400" w:after="160"/>
      </w:pPr>
      <w:r>
        <w:rPr>
          <w:rFonts w:ascii="Arial" w:cs="Arial" w:eastAsia="Arial" w:hAnsi="Arial"/>
          <w:b/>
          <w:bCs/>
          <w:color w:val="1A56DB"/>
          <w:sz w:val="36"/>
          <w:szCs w:val="36"/>
        </w:rPr>
        <w:t xml:space="preserve">9. Family Sharing</w:t>
      </w:r>
    </w:p>
    <w:p>
      <w:pPr>
        <w:spacing w:before="60" w:after="80"/>
      </w:pPr>
      <w:r>
        <w:rPr>
          <w:rFonts w:ascii="Arial" w:cs="Arial" w:eastAsia="Arial" w:hAnsi="Arial"/>
          <w:color w:val="4B5563"/>
          <w:sz w:val="22"/>
          <w:szCs w:val="22"/>
        </w:rPr>
        <w:t xml:space="preserve">The shared wallet is a key feature for household insurance management. Both adults in a household need access to all policies — particularly children's health insurance cards.</w:t>
      </w:r>
    </w:p>
    <w:p>
      <w:pPr>
        <w:spacing w:before="80"/>
      </w:pPr>
    </w:p>
    <w:p>
      <w:pPr>
        <w:pStyle w:val="ListParagraph"/>
        <w:numPr>
          <w:ilvl w:val="0"/>
          <w:numId w:val="2"/>
        </w:numPr>
        <w:spacing w:before="40" w:after="60"/>
      </w:pPr>
      <w:r>
        <w:rPr>
          <w:rFonts w:ascii="Arial" w:cs="Arial" w:eastAsia="Arial" w:hAnsi="Arial"/>
          <w:color w:val="4B5563"/>
          <w:sz w:val="22"/>
          <w:szCs w:val="22"/>
        </w:rPr>
        <w:t xml:space="preserve">A user can invite a family member (spouse/partner) to share their Wallet via email or phone number.</w:t>
      </w:r>
    </w:p>
    <w:p>
      <w:pPr>
        <w:pStyle w:val="ListParagraph"/>
        <w:numPr>
          <w:ilvl w:val="0"/>
          <w:numId w:val="2"/>
        </w:numPr>
        <w:spacing w:before="40" w:after="60"/>
      </w:pPr>
      <w:r>
        <w:rPr>
          <w:rFonts w:ascii="Arial" w:cs="Arial" w:eastAsia="Arial" w:hAnsi="Arial"/>
          <w:color w:val="4B5563"/>
          <w:sz w:val="22"/>
          <w:szCs w:val="22"/>
        </w:rPr>
        <w:t xml:space="preserve">The shared view allows both users to upload, view, and manage all policies in the shared wallet.</w:t>
      </w:r>
    </w:p>
    <w:p>
      <w:pPr>
        <w:pStyle w:val="ListParagraph"/>
        <w:numPr>
          <w:ilvl w:val="0"/>
          <w:numId w:val="2"/>
        </w:numPr>
        <w:spacing w:before="40" w:after="60"/>
      </w:pPr>
      <w:r>
        <w:rPr>
          <w:rFonts w:ascii="Arial" w:cs="Arial" w:eastAsia="Arial" w:hAnsi="Arial"/>
          <w:color w:val="4B5563"/>
          <w:sz w:val="22"/>
          <w:szCs w:val="22"/>
        </w:rPr>
        <w:t xml:space="preserve">Separate individual policies can remain private (not shared) if desired.</w:t>
      </w:r>
    </w:p>
    <w:p>
      <w:pPr>
        <w:pStyle w:val="ListParagraph"/>
        <w:numPr>
          <w:ilvl w:val="0"/>
          <w:numId w:val="2"/>
        </w:numPr>
        <w:spacing w:before="40" w:after="60"/>
      </w:pPr>
      <w:r>
        <w:rPr>
          <w:rFonts w:ascii="Arial" w:cs="Arial" w:eastAsia="Arial" w:hAnsi="Arial"/>
          <w:color w:val="4B5563"/>
          <w:sz w:val="22"/>
          <w:szCs w:val="22"/>
        </w:rPr>
        <w:t xml:space="preserve">Children's health insurance cards and documents are a primary use case — these should be easily findable and downloadable from the shared wallet.</w:t>
      </w:r>
    </w:p>
    <w:p>
      <w:pPr>
        <w:pStyle w:val="ListParagraph"/>
        <w:numPr>
          <w:ilvl w:val="0"/>
          <w:numId w:val="2"/>
        </w:numPr>
        <w:spacing w:before="40" w:after="60"/>
      </w:pPr>
      <w:r>
        <w:rPr>
          <w:rFonts w:ascii="Arial" w:cs="Arial" w:eastAsia="Arial" w:hAnsi="Arial"/>
          <w:color w:val="4B5563"/>
          <w:sz w:val="22"/>
          <w:szCs w:val="22"/>
        </w:rPr>
        <w:t xml:space="preserve">Notifications are mirrored to all wallet members (e.g., renewal reminders, agent uploads).</w:t>
      </w:r>
    </w:p>
    <w:p>
      <w:pPr>
        <w:pBdr>
          <w:bottom w:val="single" w:color="BFDBFE" w:sz="4" w:space="1"/>
        </w:pBdr>
        <w:spacing w:before="200" w:after="200"/>
      </w:pPr>
    </w:p>
    <w:p>
      <w:pPr>
        <w:pStyle w:val="Heading1"/>
        <w:spacing w:before="400" w:after="160"/>
      </w:pPr>
      <w:r>
        <w:rPr>
          <w:rFonts w:ascii="Arial" w:cs="Arial" w:eastAsia="Arial" w:hAnsi="Arial"/>
          <w:b/>
          <w:bCs/>
          <w:color w:val="1A56DB"/>
          <w:sz w:val="36"/>
          <w:szCs w:val="36"/>
        </w:rPr>
        <w:t xml:space="preserve">10. Notifications &amp; Reminders</w:t>
      </w:r>
    </w:p>
    <w:p>
      <w:pPr>
        <w:spacing w:before="60" w:after="80"/>
      </w:pPr>
      <w:r>
        <w:rPr>
          <w:rFonts w:ascii="Arial" w:cs="Arial" w:eastAsia="Arial" w:hAnsi="Arial"/>
          <w:color w:val="4B5563"/>
          <w:sz w:val="22"/>
          <w:szCs w:val="22"/>
        </w:rPr>
        <w:t xml:space="preserve">Proactive notifications are a primary value driver. The app must prevent the user from ever missing a renewal or grace period — this has direct financial and legal consequences (e.g., car insurance lapse penalties).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1"/>
              <w:left w:val="single" w:color="DBEAFE" w:sz="1"/>
              <w:bottom w:val="single" w:color="DBEAFE" w:sz="1"/>
              <w:right w:val="single" w:color="DBEA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Notification Type</w:t>
            </w:r>
          </w:p>
        </w:tc>
        <w:tc>
          <w:tcPr>
            <w:tcW w:type="dxa" w:w="4680"/>
            <w:tcBorders>
              <w:top w:val="single" w:color="DBEAFE" w:sz="1"/>
              <w:left w:val="single" w:color="DBEAFE" w:sz="1"/>
              <w:bottom w:val="single" w:color="DBEAFE" w:sz="1"/>
              <w:right w:val="single" w:color="DBEA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Timing &amp; Content</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Renewal Reminder</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30 days, 7 days, and 3 days before expiry. Message: 'Your [Policy Type] with [Insurer] expires on [Date]. Premium: €[Amount].' CTA: 'Renew Now'.</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Grace Period Alert</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On the renewal date if not yet renewed: 'You are within your grace period. Renew today to stay covered.'</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Agent Activity</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Immediate: 'Your agent has added/updated a document in your Wallet.'</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AI Insight</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Weekly (max 1/week): New savings opportunity or gap detected.</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Benefit Reminder</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Annually: 'Your annual health check-up benefit is available. Have you used it?'</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New AI Insight</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As detected: 'We found a potential saving in your policies.'</w:t>
            </w:r>
          </w:p>
        </w:tc>
      </w:tr>
    </w:tbl>
    <w:p>
      <w:pPr>
        <w:pBdr>
          <w:bottom w:val="single" w:color="BFDBFE" w:sz="4" w:space="1"/>
        </w:pBdr>
        <w:spacing w:before="200" w:after="200"/>
      </w:pPr>
    </w:p>
    <w:p>
      <w:pPr>
        <w:pStyle w:val="Heading1"/>
        <w:spacing w:before="400" w:after="160"/>
      </w:pPr>
      <w:r>
        <w:rPr>
          <w:rFonts w:ascii="Arial" w:cs="Arial" w:eastAsia="Arial" w:hAnsi="Arial"/>
          <w:b/>
          <w:bCs/>
          <w:color w:val="1A56DB"/>
          <w:sz w:val="36"/>
          <w:szCs w:val="36"/>
        </w:rPr>
        <w:t xml:space="preserve">11. Export &amp; Utility Features</w:t>
      </w:r>
    </w:p>
    <w:p>
      <w:pPr>
        <w:spacing w:before="80"/>
      </w:pPr>
    </w:p>
    <w:p>
      <w:pPr>
        <w:pStyle w:val="Heading2"/>
        <w:spacing w:before="320" w:after="120"/>
      </w:pPr>
      <w:r>
        <w:rPr>
          <w:rFonts w:ascii="Arial" w:cs="Arial" w:eastAsia="Arial" w:hAnsi="Arial"/>
          <w:b/>
          <w:bCs/>
          <w:color w:val="111827"/>
          <w:sz w:val="26"/>
          <w:szCs w:val="26"/>
        </w:rPr>
        <w:t xml:space="preserve">11.1 Export Portfolio</w:t>
      </w:r>
    </w:p>
    <w:p>
      <w:pPr>
        <w:spacing w:before="60" w:after="80"/>
      </w:pPr>
      <w:r>
        <w:rPr>
          <w:rFonts w:ascii="Arial" w:cs="Arial" w:eastAsia="Arial" w:hAnsi="Arial"/>
          <w:color w:val="4B5563"/>
          <w:sz w:val="22"/>
          <w:szCs w:val="22"/>
        </w:rPr>
        <w:t xml:space="preserve">A 'Export Portfolio' action (accessible from Settings or via CTA) generates a structured PDF summary of all active policies. Use case: sharing with an accountant, financial advisor, or for personal records. The export should include: policy list, premium amounts, renewal dates, and key coverage highlights.</w:t>
      </w:r>
    </w:p>
    <w:p>
      <w:pPr>
        <w:spacing w:before="120"/>
      </w:pPr>
    </w:p>
    <w:p>
      <w:pPr>
        <w:pStyle w:val="Heading2"/>
        <w:spacing w:before="320" w:after="120"/>
      </w:pPr>
      <w:r>
        <w:rPr>
          <w:rFonts w:ascii="Arial" w:cs="Arial" w:eastAsia="Arial" w:hAnsi="Arial"/>
          <w:b/>
          <w:bCs/>
          <w:color w:val="111827"/>
          <w:sz w:val="26"/>
          <w:szCs w:val="26"/>
        </w:rPr>
        <w:t xml:space="preserve">11.2 Add Note</w:t>
      </w:r>
    </w:p>
    <w:p>
      <w:pPr>
        <w:spacing w:before="60" w:after="80"/>
      </w:pPr>
      <w:r>
        <w:rPr>
          <w:rFonts w:ascii="Arial" w:cs="Arial" w:eastAsia="Arial" w:hAnsi="Arial"/>
          <w:color w:val="4B5563"/>
          <w:sz w:val="22"/>
          <w:szCs w:val="22"/>
        </w:rPr>
        <w:t xml:space="preserve">Any policy should support a free-text 'Add Note' field. Notes are personal and not shared with the agent unless explicitly sent. Example use: 'Car last serviced: March 2025 — 45,000km.'</w:t>
      </w:r>
    </w:p>
    <w:p>
      <w:pPr>
        <w:spacing w:before="120"/>
      </w:pPr>
    </w:p>
    <w:p>
      <w:pPr>
        <w:pStyle w:val="Heading2"/>
        <w:spacing w:before="320" w:after="120"/>
      </w:pPr>
      <w:r>
        <w:rPr>
          <w:rFonts w:ascii="Arial" w:cs="Arial" w:eastAsia="Arial" w:hAnsi="Arial"/>
          <w:b/>
          <w:bCs/>
          <w:color w:val="111827"/>
          <w:sz w:val="26"/>
          <w:szCs w:val="26"/>
        </w:rPr>
        <w:t xml:space="preserve">11.3 Policy Comparison</w:t>
      </w:r>
    </w:p>
    <w:p>
      <w:pPr>
        <w:spacing w:before="60" w:after="80"/>
      </w:pPr>
      <w:r>
        <w:rPr>
          <w:rFonts w:ascii="Arial" w:cs="Arial" w:eastAsia="Arial" w:hAnsi="Arial"/>
          <w:color w:val="4B5563"/>
          <w:sz w:val="22"/>
          <w:szCs w:val="22"/>
        </w:rPr>
        <w:t xml:space="preserve">Side-by-side comparison view triggered by the 'Compare' CTA in policy detail. Compares the current policy to a previous version (relevant at renewal time). Highlights changes in premium, coverage limits, and deductibles in a clear diff format.</w:t>
      </w:r>
    </w:p>
    <w:p>
      <w:pPr>
        <w:pBdr>
          <w:bottom w:val="single" w:color="BFDBFE" w:sz="4" w:space="1"/>
        </w:pBdr>
        <w:spacing w:before="200" w:after="200"/>
      </w:pPr>
    </w:p>
    <w:p>
      <w:pPr>
        <w:pStyle w:val="Heading1"/>
        <w:spacing w:before="400" w:after="160"/>
      </w:pPr>
      <w:r>
        <w:rPr>
          <w:rFonts w:ascii="Arial" w:cs="Arial" w:eastAsia="Arial" w:hAnsi="Arial"/>
          <w:b/>
          <w:bCs/>
          <w:color w:val="1A56DB"/>
          <w:sz w:val="36"/>
          <w:szCs w:val="36"/>
        </w:rPr>
        <w:t xml:space="preserve">12. Value Communication &amp; Subscription</w:t>
      </w:r>
    </w:p>
    <w:p>
      <w:pPr>
        <w:spacing w:before="60" w:after="80"/>
      </w:pPr>
      <w:r>
        <w:rPr>
          <w:rFonts w:ascii="Arial" w:cs="Arial" w:eastAsia="Arial" w:hAnsi="Arial"/>
          <w:color w:val="4B5563"/>
          <w:sz w:val="22"/>
          <w:szCs w:val="22"/>
        </w:rPr>
        <w:t xml:space="preserve">The product is subscription-based (e.g., €9.99/month). The UI must continuously reinforce the tangible value being delivered to justify the subscription.</w:t>
      </w:r>
    </w:p>
    <w:p>
      <w:pPr>
        <w:spacing w:before="80"/>
      </w:pPr>
    </w:p>
    <w:p>
      <w:pPr>
        <w:pStyle w:val="ListParagraph"/>
        <w:numPr>
          <w:ilvl w:val="0"/>
          <w:numId w:val="2"/>
        </w:numPr>
        <w:spacing w:before="40" w:after="60"/>
      </w:pPr>
      <w:r>
        <w:rPr>
          <w:rFonts w:ascii="Arial" w:cs="Arial" w:eastAsia="Arial" w:hAnsi="Arial"/>
          <w:color w:val="4B5563"/>
          <w:sz w:val="22"/>
          <w:szCs w:val="22"/>
        </w:rPr>
        <w:t xml:space="preserve">A 'Savings Dashboard' or summary card showing cumulative savings identified by the AI (e.g., 'PolicyWallet has helped you identify €185 in savings this year').</w:t>
      </w:r>
    </w:p>
    <w:p>
      <w:pPr>
        <w:pStyle w:val="ListParagraph"/>
        <w:numPr>
          <w:ilvl w:val="0"/>
          <w:numId w:val="2"/>
        </w:numPr>
        <w:spacing w:before="40" w:after="60"/>
      </w:pPr>
      <w:r>
        <w:rPr>
          <w:rFonts w:ascii="Arial" w:cs="Arial" w:eastAsia="Arial" w:hAnsi="Arial"/>
          <w:color w:val="4B5563"/>
          <w:sz w:val="22"/>
          <w:szCs w:val="22"/>
        </w:rPr>
        <w:t xml:space="preserve">Benefits utilization tracker: shows which 'free' policy benefits (check-ups, cleanings, etc.) the user has been reminded about and used.</w:t>
      </w:r>
    </w:p>
    <w:p>
      <w:pPr>
        <w:pStyle w:val="ListParagraph"/>
        <w:numPr>
          <w:ilvl w:val="0"/>
          <w:numId w:val="2"/>
        </w:numPr>
        <w:spacing w:before="40" w:after="60"/>
      </w:pPr>
      <w:r>
        <w:rPr>
          <w:rFonts w:ascii="Arial" w:cs="Arial" w:eastAsia="Arial" w:hAnsi="Arial"/>
          <w:color w:val="4B5563"/>
          <w:sz w:val="22"/>
          <w:szCs w:val="22"/>
        </w:rPr>
        <w:t xml:space="preserve">The value framing should be: 'Get your subscription cost back in the first 2 months through benefits and gap detection.'</w:t>
      </w:r>
    </w:p>
    <w:p>
      <w:pPr>
        <w:pBdr>
          <w:bottom w:val="single" w:color="BFDBFE" w:sz="4" w:space="1"/>
        </w:pBdr>
        <w:spacing w:before="200" w:after="200"/>
      </w:pPr>
    </w:p>
    <w:p>
      <w:pPr>
        <w:pStyle w:val="Heading1"/>
        <w:spacing w:before="400" w:after="160"/>
      </w:pPr>
      <w:r>
        <w:rPr>
          <w:rFonts w:ascii="Arial" w:cs="Arial" w:eastAsia="Arial" w:hAnsi="Arial"/>
          <w:b/>
          <w:bCs/>
          <w:color w:val="1A56DB"/>
          <w:sz w:val="36"/>
          <w:szCs w:val="36"/>
        </w:rPr>
        <w:t xml:space="preserve">13. Global UX &amp; Design Principles</w:t>
      </w:r>
    </w:p>
    <w:p>
      <w:pPr>
        <w:spacing w:before="60" w:after="80"/>
      </w:pPr>
      <w:r>
        <w:rPr>
          <w:rFonts w:ascii="Arial" w:cs="Arial" w:eastAsia="Arial" w:hAnsi="Arial"/>
          <w:color w:val="4B5563"/>
          <w:sz w:val="22"/>
          <w:szCs w:val="22"/>
        </w:rPr>
        <w:t xml:space="preserve">The following principles must guide all design decisions across the product: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1"/>
              <w:left w:val="single" w:color="DBEAFE" w:sz="1"/>
              <w:bottom w:val="single" w:color="DBEAFE" w:sz="1"/>
              <w:right w:val="single" w:color="DBEA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Principle</w:t>
            </w:r>
          </w:p>
        </w:tc>
        <w:tc>
          <w:tcPr>
            <w:tcW w:type="dxa" w:w="4680"/>
            <w:tcBorders>
              <w:top w:val="single" w:color="DBEAFE" w:sz="1"/>
              <w:left w:val="single" w:color="DBEAFE" w:sz="1"/>
              <w:bottom w:val="single" w:color="DBEAFE" w:sz="1"/>
              <w:right w:val="single" w:color="DBEA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Implementation Guidance</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Plain Language First</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All AI-generated content, policy summaries, and in-app copy must use plain, everyday language. No insurance jargon in the UI. Complex terms may appear in extracted data but should always be accompanied by a plain-language tooltip or explanation.</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Speed &amp; Immediacy</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The app is opened for quick lookups. Every key piece of information (renewal date, phone number, coverage status) should be reachable in 2 taps or fewer from the dashboard.</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Trust &amp; Security</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GDPR compliance badges, encryption messaging, and granular sharing controls must be visible and accessible. Reinforce security at key moments: upload, sharing, agent connection.</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Proactive over Reactive</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The app should surface important information before the user needs to search for it. Reminders, AI cards, and agent notifications are the product working for the user without them asking.</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Mobile-First, Always</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All layouts, touch targets, and interactions should be designed for one-handed mobile use. Minimum touch target size: 44x44pt.</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111827"/>
                <w:sz w:val="21"/>
                <w:szCs w:val="21"/>
              </w:rPr>
              <w:t xml:space="preserve">Biometric-First Auth</w:t>
            </w:r>
          </w:p>
        </w:tc>
        <w:tc>
          <w:tcPr>
            <w:tcW w:type="dxa" w:w="4680"/>
            <w:tcBorders>
              <w:top w:val="single" w:color="DBEAFE" w:sz="1"/>
              <w:left w:val="single" w:color="DBEAFE" w:sz="1"/>
              <w:bottom w:val="single" w:color="DBEAFE" w:sz="1"/>
              <w:right w:val="single" w:color="DBEAFE" w:sz="1"/>
            </w:tcBorders>
            <w:shd w:fill="EFF6FF" w:val="clear"/>
            <w:tcMar>
              <w:top w:type="dxa" w:w="80"/>
              <w:left w:type="dxa" w:w="140"/>
              <w:bottom w:type="dxa" w:w="80"/>
              <w:right w:type="dxa" w:w="140"/>
            </w:tcMar>
          </w:tcPr>
          <w:p>
            <w:r>
              <w:rPr>
                <w:rFonts w:ascii="Arial" w:cs="Arial" w:eastAsia="Arial" w:hAnsi="Arial"/>
                <w:color w:val="4B5563"/>
                <w:sz w:val="21"/>
                <w:szCs w:val="21"/>
              </w:rPr>
              <w:t xml:space="preserve">Never show a password screen as the primary login. Biometrics are the default. Reduce all authentication friction to near-zero.</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Family-Aware</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4B5563"/>
                <w:sz w:val="21"/>
                <w:szCs w:val="21"/>
              </w:rPr>
              <w:t xml:space="preserve">Design flows and notifications with the assumption that 2 adults may share a wallet and both need equal access and clarity.</w:t>
            </w:r>
          </w:p>
        </w:tc>
      </w:tr>
    </w:tbl>
    <w:p>
      <w:pPr>
        <w:pBdr>
          <w:bottom w:val="single" w:color="BFDBFE" w:sz="4" w:space="1"/>
        </w:pBdr>
        <w:spacing w:before="200" w:after="200"/>
      </w:pPr>
    </w:p>
    <w:p>
      <w:pPr>
        <w:pStyle w:val="Heading1"/>
        <w:spacing w:before="400" w:after="160"/>
      </w:pPr>
      <w:r>
        <w:rPr>
          <w:rFonts w:ascii="Arial" w:cs="Arial" w:eastAsia="Arial" w:hAnsi="Arial"/>
          <w:b/>
          <w:bCs/>
          <w:color w:val="1A56DB"/>
          <w:sz w:val="36"/>
          <w:szCs w:val="36"/>
        </w:rPr>
        <w:t xml:space="preserve">14. Key User Journey Summaries</w:t>
      </w:r>
    </w:p>
    <w:p>
      <w:pPr>
        <w:spacing w:before="120"/>
      </w:pPr>
    </w:p>
    <w:p>
      <w:pPr>
        <w:pStyle w:val="Heading2"/>
        <w:spacing w:before="320" w:after="120"/>
      </w:pPr>
      <w:r>
        <w:rPr>
          <w:rFonts w:ascii="Arial" w:cs="Arial" w:eastAsia="Arial" w:hAnsi="Arial"/>
          <w:b/>
          <w:bCs/>
          <w:color w:val="111827"/>
          <w:sz w:val="26"/>
          <w:szCs w:val="26"/>
        </w:rPr>
        <w:t xml:space="preserve">Journey 1: New User First Upload</w:t>
      </w:r>
    </w:p>
    <w:p>
      <w:pPr>
        <w:spacing w:before="60" w:after="80"/>
      </w:pPr>
      <w:r>
        <w:rPr>
          <w:rFonts w:ascii="Arial" w:cs="Arial" w:eastAsia="Arial" w:hAnsi="Arial"/>
          <w:color w:val="4B5563"/>
          <w:sz w:val="22"/>
          <w:szCs w:val="22"/>
        </w:rPr>
        <w:t xml:space="preserve">Download app → Sign up → Welcome Tour (3 steps, intent capture) → Upload first policy → AI reads document (~20s) → View AI summary → 'Go to My Wallet' → Dashboard. First use of the product must end with the user seeing their policy data in a clean, readable format.</w:t>
      </w:r>
    </w:p>
    <w:p>
      <w:pPr>
        <w:spacing w:before="120"/>
      </w:pPr>
    </w:p>
    <w:p>
      <w:pPr>
        <w:pStyle w:val="Heading2"/>
        <w:spacing w:before="320" w:after="120"/>
      </w:pPr>
      <w:r>
        <w:rPr>
          <w:rFonts w:ascii="Arial" w:cs="Arial" w:eastAsia="Arial" w:hAnsi="Arial"/>
          <w:b/>
          <w:bCs/>
          <w:color w:val="111827"/>
          <w:sz w:val="26"/>
          <w:szCs w:val="26"/>
        </w:rPr>
        <w:t xml:space="preserve">Journey 2: Routine Policy Lookup</w:t>
      </w:r>
    </w:p>
    <w:p>
      <w:pPr>
        <w:spacing w:before="60" w:after="80"/>
      </w:pPr>
      <w:r>
        <w:rPr>
          <w:rFonts w:ascii="Arial" w:cs="Arial" w:eastAsia="Arial" w:hAnsi="Arial"/>
          <w:color w:val="4B5563"/>
          <w:sz w:val="22"/>
          <w:szCs w:val="22"/>
        </w:rPr>
        <w:t xml:space="preserve">Open app (biometric) → Dashboard → Tap policy card in Recent Documents → Policy Detail View → Find coverage detail or phone number. Target: 3 taps from app open to information found.</w:t>
      </w:r>
    </w:p>
    <w:p>
      <w:pPr>
        <w:spacing w:before="120"/>
      </w:pPr>
    </w:p>
    <w:p>
      <w:pPr>
        <w:pStyle w:val="Heading2"/>
        <w:spacing w:before="320" w:after="120"/>
      </w:pPr>
      <w:r>
        <w:rPr>
          <w:rFonts w:ascii="Arial" w:cs="Arial" w:eastAsia="Arial" w:hAnsi="Arial"/>
          <w:b/>
          <w:bCs/>
          <w:color w:val="111827"/>
          <w:sz w:val="26"/>
          <w:szCs w:val="26"/>
        </w:rPr>
        <w:t xml:space="preserve">Journey 3: Sharing a Document with Agent</w:t>
      </w:r>
    </w:p>
    <w:p>
      <w:pPr>
        <w:spacing w:before="60" w:after="80"/>
      </w:pPr>
      <w:r>
        <w:rPr>
          <w:rFonts w:ascii="Arial" w:cs="Arial" w:eastAsia="Arial" w:hAnsi="Arial"/>
          <w:color w:val="4B5563"/>
          <w:sz w:val="22"/>
          <w:szCs w:val="22"/>
        </w:rPr>
        <w:t xml:space="preserve">Open app → My Wallet → Select policy → 'Share with Agent' → Confirm agent → Sent confirmation. Optional: agent receives notification on their end and can access the document.</w:t>
      </w:r>
    </w:p>
    <w:p>
      <w:pPr>
        <w:spacing w:before="120"/>
      </w:pPr>
    </w:p>
    <w:p>
      <w:pPr>
        <w:pStyle w:val="Heading2"/>
        <w:spacing w:before="320" w:after="120"/>
      </w:pPr>
      <w:r>
        <w:rPr>
          <w:rFonts w:ascii="Arial" w:cs="Arial" w:eastAsia="Arial" w:hAnsi="Arial"/>
          <w:b/>
          <w:bCs/>
          <w:color w:val="111827"/>
          <w:sz w:val="26"/>
          <w:szCs w:val="26"/>
        </w:rPr>
        <w:t xml:space="preserve">Journey 4: Acting on a Savings Insight</w:t>
      </w:r>
    </w:p>
    <w:p>
      <w:pPr>
        <w:spacing w:before="60" w:after="80"/>
      </w:pPr>
      <w:r>
        <w:rPr>
          <w:rFonts w:ascii="Arial" w:cs="Arial" w:eastAsia="Arial" w:hAnsi="Arial"/>
          <w:color w:val="4B5563"/>
          <w:sz w:val="22"/>
          <w:szCs w:val="22"/>
        </w:rPr>
        <w:t xml:space="preserve">Notification: 'Duplicate Roadside Assistance found' → Open app → AI Insights → View insight card (duplicate coverage detected, ~€35 saving) → 'Ask Your Agent' → Shared to agent with note → Agent reviews and advises.</w:t>
      </w:r>
    </w:p>
    <w:p>
      <w:pPr>
        <w:spacing w:before="120"/>
      </w:pPr>
    </w:p>
    <w:p>
      <w:pPr>
        <w:pStyle w:val="Heading2"/>
        <w:spacing w:before="320" w:after="120"/>
      </w:pPr>
      <w:r>
        <w:rPr>
          <w:rFonts w:ascii="Arial" w:cs="Arial" w:eastAsia="Arial" w:hAnsi="Arial"/>
          <w:b/>
          <w:bCs/>
          <w:color w:val="111827"/>
          <w:sz w:val="26"/>
          <w:szCs w:val="26"/>
        </w:rPr>
        <w:t xml:space="preserve">Journey 5: Renewal Reminder Response</w:t>
      </w:r>
    </w:p>
    <w:p>
      <w:pPr>
        <w:spacing w:before="60" w:after="80"/>
      </w:pPr>
      <w:r>
        <w:rPr>
          <w:rFonts w:ascii="Arial" w:cs="Arial" w:eastAsia="Arial" w:hAnsi="Arial"/>
          <w:color w:val="4B5563"/>
          <w:sz w:val="22"/>
          <w:szCs w:val="22"/>
        </w:rPr>
        <w:t xml:space="preserve">Push notification (7 days before expiry) → Open app → Dashboard Upcoming Renewals card → Tap 'Renew Now' → Redirected to insurer payment page (external) → User completes renewal → Returns to app → Policy marked as renewed.</w:t>
      </w:r>
    </w:p>
    <w:p>
      <w:pPr>
        <w:spacing w:before="120"/>
      </w:pPr>
    </w:p>
    <w:p>
      <w:pPr>
        <w:pStyle w:val="Heading2"/>
        <w:spacing w:before="320" w:after="120"/>
      </w:pPr>
      <w:r>
        <w:rPr>
          <w:rFonts w:ascii="Arial" w:cs="Arial" w:eastAsia="Arial" w:hAnsi="Arial"/>
          <w:b/>
          <w:bCs/>
          <w:color w:val="111827"/>
          <w:sz w:val="26"/>
          <w:szCs w:val="26"/>
        </w:rPr>
        <w:t xml:space="preserve">Journey 6: Agent Uploads a New Document</w:t>
      </w:r>
    </w:p>
    <w:p>
      <w:pPr>
        <w:spacing w:before="60" w:after="80"/>
      </w:pPr>
      <w:r>
        <w:rPr>
          <w:rFonts w:ascii="Arial" w:cs="Arial" w:eastAsia="Arial" w:hAnsi="Arial"/>
          <w:color w:val="4B5563"/>
          <w:sz w:val="22"/>
          <w:szCs w:val="22"/>
        </w:rPr>
        <w:t xml:space="preserve">Agent uploads updated Green Card on their end → User receives push notification: 'Your agent has added a new document' → User opens app → My Wallet → New document visible, agent-uploaded badge → User views and confirms.</w:t>
      </w:r>
    </w:p>
    <w:p>
      <w:pPr>
        <w:pBdr>
          <w:bottom w:val="single" w:color="BFDBFE" w:sz="4" w:space="1"/>
        </w:pBdr>
        <w:spacing w:before="200" w:after="200"/>
      </w:pP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60"/>
              <w:left w:type="dxa" w:w="200"/>
              <w:bottom w:type="dxa" w:w="160"/>
              <w:right w:type="dxa" w:w="200"/>
            </w:tcMar>
          </w:tcPr>
          <w:p>
            <w:r>
              <w:rPr>
                <w:rFonts w:ascii="Arial" w:cs="Arial" w:eastAsia="Arial" w:hAnsi="Arial"/>
                <w:b/>
                <w:bCs/>
                <w:color w:val="1A56DB"/>
                <w:sz w:val="22"/>
                <w:szCs w:val="22"/>
              </w:rPr>
              <w:t xml:space="preserve">Document Note:  </w:t>
            </w:r>
            <w:r>
              <w:rPr>
                <w:rFonts w:ascii="Arial" w:cs="Arial" w:eastAsia="Arial" w:hAnsi="Arial"/>
                <w:color w:val="4B5563"/>
                <w:sz w:val="22"/>
                <w:szCs w:val="22"/>
              </w:rPr>
              <w:t xml:space="preserve">This specification describes user experience and interface requirements only. Technical architecture, API design, and backend implementation are outside the scope of this document. All user journey descriptions are derived from primary user research and should be treated as validated product requirements.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6"/>
      <w:szCs w:val="36"/>
    </w:rPr>
  </w:style>
  <w:style w:type="paragraph" w:styleId="Heading2">
    <w:name w:val="Heading 2"/>
    <w:basedOn w:val="Normal"/>
    <w:next w:val="Normal"/>
    <w:qFormat/>
    <w:pPr>
      <w:spacing w:before="32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2026-02-19T12:33:46.430Z</dcterms:created>
  <dcterms:modified xsi:type="dcterms:W3CDTF">2026-02-19T12:33:46.431Z</dcterms:modified>
</cp:coreProperties>
</file>

<file path=docProps/custom.xml><?xml version="1.0" encoding="utf-8"?>
<Properties xmlns="http://schemas.openxmlformats.org/officeDocument/2006/custom-properties" xmlns:vt="http://schemas.openxmlformats.org/officeDocument/2006/docPropsVTypes"/>
</file>