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aps/>
          <w:color w:val="1A56DB"/>
          <w:sz w:val="72"/>
          <w:szCs w:val="72"/>
        </w:rPr>
        <w:t xml:space="preserve">POLICYWALLET</w:t>
      </w:r>
    </w:p>
    <w:p>
      <w:pPr>
        <w:spacing w:before="0" w:after="80"/>
      </w:pPr>
      <w:r>
        <w:rPr>
          <w:rFonts w:ascii="Arial" w:cs="Arial" w:eastAsia="Arial" w:hAnsi="Arial"/>
          <w:color w:val="111827"/>
          <w:sz w:val="44"/>
          <w:szCs w:val="44"/>
        </w:rPr>
        <w:t xml:space="preserve">Product Specification  v2.0</w:t>
      </w:r>
    </w:p>
    <w:p>
      <w:pPr>
        <w:spacing w:before="0" w:after="600"/>
      </w:pPr>
      <w:r>
        <w:rPr>
          <w:rFonts w:ascii="Arial" w:cs="Arial" w:eastAsia="Arial" w:hAnsi="Arial"/>
          <w:color w:val="4B5563"/>
          <w:sz w:val="28"/>
          <w:szCs w:val="28"/>
        </w:rPr>
        <w:t xml:space="preserve">Front-End Development — User Journeys, UI/UX &amp; Feature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r>
              <w:rPr>
                <w:rFonts w:ascii="Arial" w:cs="Arial" w:eastAsia="Arial" w:hAnsi="Arial"/>
                <w:b/>
                <w:bCs/>
                <w:color w:val="1A56DB"/>
                <w:sz w:val="20"/>
                <w:szCs w:val="20"/>
              </w:rPr>
              <w:t xml:space="preserve">Version</w:t>
            </w:r>
          </w:p>
          <w:p>
            <w:r>
              <w:rPr>
                <w:rFonts w:ascii="Arial" w:cs="Arial" w:eastAsia="Arial" w:hAnsi="Arial"/>
                <w:color w:val="111827"/>
                <w:sz w:val="21"/>
                <w:szCs w:val="21"/>
              </w:rPr>
              <w:t xml:space="preserve">2.0</w:t>
            </w:r>
          </w:p>
        </w:tc>
        <w:tc>
          <w:tcPr>
            <w:tcW w:type="dxa" w:w="312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r>
              <w:rPr>
                <w:rFonts w:ascii="Arial" w:cs="Arial" w:eastAsia="Arial" w:hAnsi="Arial"/>
                <w:b/>
                <w:bCs/>
                <w:color w:val="1A56DB"/>
                <w:sz w:val="20"/>
                <w:szCs w:val="20"/>
              </w:rPr>
              <w:t xml:space="preserve">Status</w:t>
            </w:r>
          </w:p>
          <w:p>
            <w:r>
              <w:rPr>
                <w:rFonts w:ascii="Arial" w:cs="Arial" w:eastAsia="Arial" w:hAnsi="Arial"/>
                <w:color w:val="111827"/>
                <w:sz w:val="21"/>
                <w:szCs w:val="21"/>
              </w:rPr>
              <w:t xml:space="preserve">Ready for Development</w:t>
            </w:r>
          </w:p>
        </w:tc>
        <w:tc>
          <w:tcPr>
            <w:tcW w:type="dxa" w:w="312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r>
              <w:rPr>
                <w:rFonts w:ascii="Arial" w:cs="Arial" w:eastAsia="Arial" w:hAnsi="Arial"/>
                <w:b/>
                <w:bCs/>
                <w:color w:val="1A56DB"/>
                <w:sz w:val="20"/>
                <w:szCs w:val="20"/>
              </w:rPr>
              <w:t xml:space="preserve">Audience</w:t>
            </w:r>
          </w:p>
          <w:p>
            <w:r>
              <w:rPr>
                <w:rFonts w:ascii="Arial" w:cs="Arial" w:eastAsia="Arial" w:hAnsi="Arial"/>
                <w:color w:val="111827"/>
                <w:sz w:val="21"/>
                <w:szCs w:val="21"/>
              </w:rPr>
              <w:t xml:space="preserve">Front-End Team</w:t>
            </w:r>
          </w:p>
        </w:tc>
      </w:tr>
    </w:tbl>
    <w:p>
      <w:r>
        <w:br w:type="page"/>
      </w:r>
    </w:p>
    <w:p>
      <w:pPr>
        <w:pStyle w:val="Heading1"/>
        <w:spacing w:before="480" w:after="160"/>
      </w:pPr>
      <w:r>
        <w:rPr>
          <w:rFonts w:ascii="Arial" w:cs="Arial" w:eastAsia="Arial" w:hAnsi="Arial"/>
          <w:b/>
          <w:bCs/>
          <w:color w:val="1A56DB"/>
          <w:sz w:val="36"/>
          <w:szCs w:val="36"/>
        </w:rPr>
        <w:t xml:space="preserve">1. Product Overview</w:t>
      </w:r>
    </w:p>
    <w:p>
      <w:pPr>
        <w:spacing w:before="60" w:after="80"/>
      </w:pPr>
      <w:r>
        <w:rPr>
          <w:rFonts w:ascii="Arial" w:cs="Arial" w:eastAsia="Arial" w:hAnsi="Arial"/>
          <w:color w:val="4B5563"/>
          <w:sz w:val="22"/>
          <w:szCs w:val="22"/>
        </w:rPr>
        <w:t xml:space="preserve">PolicyWallet is a mobile-first insurance management platform that acts as a single, secure digital vault for all of a user's insurance policies. It combines document storage, AI-powered policy analysis, proactive reminders, family sharing, and direct agent connectivity into one seamless experience.</w:t>
      </w:r>
    </w:p>
    <w:p>
      <w:pPr>
        <w:spacing w:before="80"/>
      </w:pPr>
    </w:p>
    <w:p>
      <w:pPr>
        <w:spacing w:before="60" w:after="80"/>
      </w:pPr>
      <w:r>
        <w:rPr>
          <w:rFonts w:ascii="Arial" w:cs="Arial" w:eastAsia="Arial" w:hAnsi="Arial"/>
          <w:b/>
          <w:bCs/>
          <w:color w:val="4B5563"/>
          <w:sz w:val="22"/>
          <w:szCs w:val="22"/>
        </w:rPr>
        <w:t xml:space="preserve">The core value proposition rests on three pillars:</w:t>
      </w:r>
    </w:p>
    <w:p>
      <w:pPr>
        <w:pStyle w:val="ListParagraph"/>
        <w:numPr>
          <w:ilvl w:val="0"/>
          <w:numId w:val="2"/>
        </w:numPr>
        <w:spacing w:before="40" w:after="60"/>
      </w:pPr>
      <w:r>
        <w:rPr>
          <w:rFonts w:ascii="Arial" w:cs="Arial" w:eastAsia="Arial" w:hAnsi="Arial"/>
          <w:b w:val="false"/>
          <w:bCs w:val="false"/>
          <w:color w:val="4B5563"/>
          <w:sz w:val="22"/>
          <w:szCs w:val="22"/>
        </w:rPr>
        <w:t xml:space="preserve">Simplicity — one app replacing multiple insurer apps and scattered PDFs.</w:t>
      </w:r>
    </w:p>
    <w:p>
      <w:pPr>
        <w:pStyle w:val="ListParagraph"/>
        <w:numPr>
          <w:ilvl w:val="0"/>
          <w:numId w:val="2"/>
        </w:numPr>
        <w:spacing w:before="40" w:after="60"/>
      </w:pPr>
      <w:r>
        <w:rPr>
          <w:rFonts w:ascii="Arial" w:cs="Arial" w:eastAsia="Arial" w:hAnsi="Arial"/>
          <w:b w:val="false"/>
          <w:bCs w:val="false"/>
          <w:color w:val="4B5563"/>
          <w:sz w:val="22"/>
          <w:szCs w:val="22"/>
        </w:rPr>
        <w:t xml:space="preserve">Intelligence — AI that translates complex policy language into plain-language insights, surfaces savings, and detects coverage gaps.</w:t>
      </w:r>
    </w:p>
    <w:p>
      <w:pPr>
        <w:pStyle w:val="ListParagraph"/>
        <w:numPr>
          <w:ilvl w:val="0"/>
          <w:numId w:val="2"/>
        </w:numPr>
        <w:spacing w:before="40" w:after="60"/>
      </w:pPr>
      <w:r>
        <w:rPr>
          <w:rFonts w:ascii="Arial" w:cs="Arial" w:eastAsia="Arial" w:hAnsi="Arial"/>
          <w:b w:val="false"/>
          <w:bCs w:val="false"/>
          <w:color w:val="4B5563"/>
          <w:sz w:val="22"/>
          <w:szCs w:val="22"/>
        </w:rPr>
        <w:t xml:space="preserve">Peace of mind — proactive reminders, family sharing, and professional agent connectivity.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60"/>
              <w:left w:type="dxa" w:w="200"/>
              <w:bottom w:type="dxa" w:w="160"/>
              <w:right w:type="dxa" w:w="200"/>
            </w:tcMar>
          </w:tcPr>
          <w:p>
            <w:r>
              <w:rPr>
                <w:rFonts w:ascii="Arial" w:cs="Arial" w:eastAsia="Arial" w:hAnsi="Arial"/>
                <w:b/>
                <w:bCs/>
                <w:color w:val="1A56DB"/>
                <w:sz w:val="22"/>
                <w:szCs w:val="22"/>
              </w:rPr>
              <w:t xml:space="preserve">Subscription value:  </w:t>
            </w:r>
            <w:r>
              <w:rPr>
                <w:rFonts w:ascii="Arial" w:cs="Arial" w:eastAsia="Arial" w:hAnsi="Arial"/>
                <w:color w:val="4B5563"/>
                <w:sz w:val="22"/>
                <w:szCs w:val="22"/>
              </w:rPr>
              <w:t xml:space="preserve">Users recover the €9.99/month subscription cost within 2 months through AI-detected savings (duplicate coverage, unused benefits, premium optimisation). The UI must continuously reinforce this value.</w:t>
            </w:r>
          </w:p>
        </w:tc>
      </w:tr>
    </w:tbl>
    <w:p>
      <w:pPr>
        <w:pBdr>
          <w:bottom w:val="single" w:color="BFDBFE" w:sz="4" w:space="1"/>
        </w:pBdr>
        <w:spacing w:before="240" w:after="240"/>
      </w:pPr>
    </w:p>
    <w:p>
      <w:pPr>
        <w:pStyle w:val="Heading1"/>
        <w:spacing w:before="480" w:after="160"/>
      </w:pPr>
      <w:r>
        <w:rPr>
          <w:rFonts w:ascii="Arial" w:cs="Arial" w:eastAsia="Arial" w:hAnsi="Arial"/>
          <w:b/>
          <w:bCs/>
          <w:color w:val="1A56DB"/>
          <w:sz w:val="36"/>
          <w:szCs w:val="36"/>
        </w:rPr>
        <w:t xml:space="preserve">2. Target User Persona</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60"/>
              <w:left w:type="dxa" w:w="200"/>
              <w:bottom w:type="dxa" w:w="160"/>
              <w:right w:type="dxa" w:w="200"/>
            </w:tcMar>
          </w:tcPr>
          <w:p>
            <w:r>
              <w:rPr>
                <w:rFonts w:ascii="Arial" w:cs="Arial" w:eastAsia="Arial" w:hAnsi="Arial"/>
                <w:b/>
                <w:bCs/>
                <w:color w:val="1A56DB"/>
                <w:sz w:val="22"/>
                <w:szCs w:val="22"/>
              </w:rPr>
              <w:t xml:space="preserve">Primary Persona:  </w:t>
            </w:r>
            <w:r>
              <w:rPr>
                <w:rFonts w:ascii="Arial" w:cs="Arial" w:eastAsia="Arial" w:hAnsi="Arial"/>
                <w:color w:val="4B5563"/>
                <w:sz w:val="22"/>
                <w:szCs w:val="22"/>
              </w:rPr>
              <w:t xml:space="preserve">The Busy Urban Professional — a city-dweller (e.g., Athens) juggling 3–5 policies across different insurers. Time-poor, digitally comfortable, GDPR-conscious, and frustrated with disorganised insurance paperwork. Motivated by savings, convenience, and security.</w:t>
            </w:r>
          </w:p>
        </w:tc>
      </w:tr>
    </w:tbl>
    <w:p>
      <w:pPr>
        <w:spacing w:before="160"/>
      </w:pPr>
    </w:p>
    <w:p>
      <w:pPr>
        <w:spacing w:before="60" w:after="80"/>
      </w:pPr>
      <w:r>
        <w:rPr>
          <w:rFonts w:ascii="Arial" w:cs="Arial" w:eastAsia="Arial" w:hAnsi="Arial"/>
          <w:color w:val="4B5563"/>
          <w:sz w:val="22"/>
          <w:szCs w:val="22"/>
        </w:rPr>
        <w:t xml:space="preserve">Key persona characteristics that must inform all UI decisions:</w:t>
      </w:r>
    </w:p>
    <w:p>
      <w:pPr>
        <w:pStyle w:val="ListParagraph"/>
        <w:numPr>
          <w:ilvl w:val="0"/>
          <w:numId w:val="2"/>
        </w:numPr>
        <w:spacing w:before="40" w:after="60"/>
      </w:pPr>
      <w:r>
        <w:rPr>
          <w:rFonts w:ascii="Arial" w:cs="Arial" w:eastAsia="Arial" w:hAnsi="Arial"/>
          <w:b w:val="false"/>
          <w:bCs w:val="false"/>
          <w:color w:val="4B5563"/>
          <w:sz w:val="22"/>
          <w:szCs w:val="22"/>
        </w:rPr>
        <w:t xml:space="preserve">Owns 3–5 policies across different insurers (Motor, Health, Home, Life, and potentially Pet).</w:t>
      </w:r>
    </w:p>
    <w:p>
      <w:pPr>
        <w:pStyle w:val="ListParagraph"/>
        <w:numPr>
          <w:ilvl w:val="0"/>
          <w:numId w:val="2"/>
        </w:numPr>
        <w:spacing w:before="40" w:after="60"/>
      </w:pPr>
      <w:r>
        <w:rPr>
          <w:rFonts w:ascii="Arial" w:cs="Arial" w:eastAsia="Arial" w:hAnsi="Arial"/>
          <w:b w:val="false"/>
          <w:bCs w:val="false"/>
          <w:color w:val="4B5563"/>
          <w:sz w:val="22"/>
          <w:szCs w:val="22"/>
        </w:rPr>
        <w:t xml:space="preserve">Previously managed policies via email folders, gloveboxes, and insecure messaging apps (WhatsApp/Viber).</w:t>
      </w:r>
    </w:p>
    <w:p>
      <w:pPr>
        <w:pStyle w:val="ListParagraph"/>
        <w:numPr>
          <w:ilvl w:val="0"/>
          <w:numId w:val="2"/>
        </w:numPr>
        <w:spacing w:before="40" w:after="60"/>
      </w:pPr>
      <w:r>
        <w:rPr>
          <w:rFonts w:ascii="Arial" w:cs="Arial" w:eastAsia="Arial" w:hAnsi="Arial"/>
          <w:b w:val="false"/>
          <w:bCs w:val="false"/>
          <w:color w:val="4B5563"/>
          <w:sz w:val="22"/>
          <w:szCs w:val="22"/>
        </w:rPr>
        <w:t xml:space="preserve">Interacts with the app roughly twice a month — once to check a payment date, once to look up a specific coverage detail.</w:t>
      </w:r>
    </w:p>
    <w:p>
      <w:pPr>
        <w:pStyle w:val="ListParagraph"/>
        <w:numPr>
          <w:ilvl w:val="0"/>
          <w:numId w:val="2"/>
        </w:numPr>
        <w:spacing w:before="40" w:after="60"/>
      </w:pPr>
      <w:r>
        <w:rPr>
          <w:rFonts w:ascii="Arial" w:cs="Arial" w:eastAsia="Arial" w:hAnsi="Arial"/>
          <w:b w:val="false"/>
          <w:bCs w:val="false"/>
          <w:color w:val="4B5563"/>
          <w:sz w:val="22"/>
          <w:szCs w:val="22"/>
        </w:rPr>
        <w:t xml:space="preserve">Values biometric login; finds repeated password entry a major friction point.</w:t>
      </w:r>
    </w:p>
    <w:p>
      <w:pPr>
        <w:pStyle w:val="ListParagraph"/>
        <w:numPr>
          <w:ilvl w:val="0"/>
          <w:numId w:val="2"/>
        </w:numPr>
        <w:spacing w:before="40" w:after="60"/>
      </w:pPr>
      <w:r>
        <w:rPr>
          <w:rFonts w:ascii="Arial" w:cs="Arial" w:eastAsia="Arial" w:hAnsi="Arial"/>
          <w:b w:val="false"/>
          <w:bCs w:val="false"/>
          <w:color w:val="4B5563"/>
          <w:sz w:val="22"/>
          <w:szCs w:val="22"/>
        </w:rPr>
        <w:t xml:space="preserve">Shares the app with a spouse/partner for family-level policy visibility.</w:t>
      </w:r>
    </w:p>
    <w:p>
      <w:pPr>
        <w:pStyle w:val="ListParagraph"/>
        <w:numPr>
          <w:ilvl w:val="0"/>
          <w:numId w:val="2"/>
        </w:numPr>
        <w:spacing w:before="40" w:after="60"/>
      </w:pPr>
      <w:r>
        <w:rPr>
          <w:rFonts w:ascii="Arial" w:cs="Arial" w:eastAsia="Arial" w:hAnsi="Arial"/>
          <w:b w:val="false"/>
          <w:bCs w:val="false"/>
          <w:color w:val="4B5563"/>
          <w:sz w:val="22"/>
          <w:szCs w:val="22"/>
        </w:rPr>
        <w:t xml:space="preserve">Has an existing insurance agent relationship they want to preserve and improve.</w:t>
      </w:r>
    </w:p>
    <w:p>
      <w:pPr>
        <w:pBdr>
          <w:bottom w:val="single" w:color="BFDBFE" w:sz="4" w:space="1"/>
        </w:pBdr>
        <w:spacing w:before="240" w:after="240"/>
      </w:pPr>
    </w:p>
    <w:p>
      <w:pPr>
        <w:pStyle w:val="Heading1"/>
        <w:spacing w:before="480" w:after="160"/>
      </w:pPr>
      <w:r>
        <w:rPr>
          <w:rFonts w:ascii="Arial" w:cs="Arial" w:eastAsia="Arial" w:hAnsi="Arial"/>
          <w:b/>
          <w:bCs/>
          <w:color w:val="1A56DB"/>
          <w:sz w:val="36"/>
          <w:szCs w:val="36"/>
        </w:rPr>
        <w:t xml:space="preserve">3. Discovery &amp; Signup Flow</w:t>
      </w:r>
    </w:p>
    <w:p>
      <w:pPr>
        <w:spacing w:before="60" w:after="80"/>
      </w:pPr>
      <w:r>
        <w:rPr>
          <w:rFonts w:ascii="Arial" w:cs="Arial" w:eastAsia="Arial" w:hAnsi="Arial"/>
          <w:color w:val="4B5563"/>
          <w:sz w:val="22"/>
          <w:szCs w:val="22"/>
        </w:rPr>
        <w:t xml:space="preserve">Users arrive primarily through social/content channels (tech blogs, targeted social ads). The messaging that converts them centres on 'digitalisation of insurance' and the AI analysis hook ('find out if you're really covered').</w:t>
      </w:r>
    </w:p>
    <w:p>
      <w:pPr>
        <w:spacing w:before="120"/>
      </w:pPr>
    </w:p>
    <w:p>
      <w:pPr>
        <w:pStyle w:val="Heading2"/>
        <w:spacing w:before="320" w:after="120"/>
      </w:pPr>
      <w:r>
        <w:rPr>
          <w:rFonts w:ascii="Arial" w:cs="Arial" w:eastAsia="Arial" w:hAnsi="Arial"/>
          <w:b/>
          <w:bCs/>
          <w:color w:val="111827"/>
          <w:sz w:val="26"/>
          <w:szCs w:val="26"/>
        </w:rPr>
        <w:t xml:space="preserve">3.1 Sign-Up Screen</w:t>
      </w:r>
    </w:p>
    <w:p>
      <w:pPr>
        <w:pStyle w:val="ListParagraph"/>
        <w:numPr>
          <w:ilvl w:val="0"/>
          <w:numId w:val="2"/>
        </w:numPr>
        <w:spacing w:before="40" w:after="60"/>
      </w:pPr>
      <w:r>
        <w:rPr>
          <w:rFonts w:ascii="Arial" w:cs="Arial" w:eastAsia="Arial" w:hAnsi="Arial"/>
          <w:b w:val="false"/>
          <w:bCs w:val="false"/>
          <w:color w:val="4B5563"/>
          <w:sz w:val="22"/>
          <w:szCs w:val="22"/>
        </w:rPr>
        <w:t xml:space="preserve">Social proof element visible on the first screen (number of users, GDPR badge).</w:t>
      </w:r>
    </w:p>
    <w:p>
      <w:pPr>
        <w:pStyle w:val="ListParagraph"/>
        <w:numPr>
          <w:ilvl w:val="0"/>
          <w:numId w:val="2"/>
        </w:numPr>
        <w:spacing w:before="40" w:after="60"/>
      </w:pPr>
      <w:r>
        <w:rPr>
          <w:rFonts w:ascii="Arial" w:cs="Arial" w:eastAsia="Arial" w:hAnsi="Arial"/>
          <w:b w:val="false"/>
          <w:bCs w:val="false"/>
          <w:color w:val="4B5563"/>
          <w:sz w:val="22"/>
          <w:szCs w:val="22"/>
        </w:rPr>
        <w:t xml:space="preserve">Clear, prominent messaging around GDPR compliance and data security — this is a primary motivator.</w:t>
      </w:r>
    </w:p>
    <w:p>
      <w:pPr>
        <w:pStyle w:val="ListParagraph"/>
        <w:numPr>
          <w:ilvl w:val="0"/>
          <w:numId w:val="2"/>
        </w:numPr>
        <w:spacing w:before="40" w:after="60"/>
      </w:pPr>
      <w:r>
        <w:rPr>
          <w:rFonts w:ascii="Arial" w:cs="Arial" w:eastAsia="Arial" w:hAnsi="Arial"/>
          <w:b w:val="false"/>
          <w:bCs w:val="false"/>
          <w:color w:val="4B5563"/>
          <w:sz w:val="22"/>
          <w:szCs w:val="22"/>
        </w:rPr>
        <w:t xml:space="preserve">Simple email/phone registration. No third-party government auth on signup.</w:t>
      </w:r>
    </w:p>
    <w:p>
      <w:pPr>
        <w:pStyle w:val="ListParagraph"/>
        <w:numPr>
          <w:ilvl w:val="0"/>
          <w:numId w:val="2"/>
        </w:numPr>
        <w:spacing w:before="40" w:after="60"/>
      </w:pPr>
      <w:r>
        <w:rPr>
          <w:rFonts w:ascii="Arial" w:cs="Arial" w:eastAsia="Arial" w:hAnsi="Arial"/>
          <w:b w:val="false"/>
          <w:bCs w:val="false"/>
          <w:color w:val="4B5563"/>
          <w:sz w:val="22"/>
          <w:szCs w:val="22"/>
        </w:rPr>
        <w:t xml:space="preserve">After account creation, immediately transition to the Welcome Tour.</w:t>
      </w:r>
    </w:p>
    <w:p>
      <w:pPr>
        <w:spacing w:before="120"/>
      </w:pPr>
    </w:p>
    <w:p>
      <w:pPr>
        <w:pStyle w:val="Heading2"/>
        <w:spacing w:before="320" w:after="120"/>
      </w:pPr>
      <w:r>
        <w:rPr>
          <w:rFonts w:ascii="Arial" w:cs="Arial" w:eastAsia="Arial" w:hAnsi="Arial"/>
          <w:b/>
          <w:bCs/>
          <w:color w:val="111827"/>
          <w:sz w:val="26"/>
          <w:szCs w:val="26"/>
        </w:rPr>
        <w:t xml:space="preserve">3.2 Welcome Tour (3 Steps)</w:t>
      </w:r>
    </w:p>
    <w:p>
      <w:pPr>
        <w:spacing w:before="60" w:after="80"/>
      </w:pPr>
      <w:r>
        <w:rPr>
          <w:rFonts w:ascii="Arial" w:cs="Arial" w:eastAsia="Arial" w:hAnsi="Arial"/>
          <w:color w:val="4B5563"/>
          <w:sz w:val="22"/>
          <w:szCs w:val="22"/>
        </w:rPr>
        <w:t xml:space="preserve">Exactly 3 steps. Purpose: personalise the experience and deliver the first 'wow' moment immediately.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Step</w:t>
            </w:r>
          </w:p>
        </w:tc>
        <w:tc>
          <w:tcPr>
            <w:tcW w:type="dxa" w:w="576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Content &amp; UI Requirement</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Step 1 — Intent Capture</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Ask: 'What matters most to you?' Present 3 selectable tiles: Save Money, Health &amp; Family, My Car. The selection personalises dashboard card order and first AI prompt.</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Step 2 — First Upload Prompt</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Prompt: 'Upload your first policy to see the magic.' Large '+' upload button. Accept PDF. Use reassuring copy: 'Your document is encrypted and private.'</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Step 3 — AI Summary</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Animated progress state as AI reads the document (~20 seconds). Display extracted summary. CTA: 'Go to My Wallet'.</w:t>
            </w:r>
          </w:p>
        </w:tc>
      </w:tr>
    </w:tbl>
    <w:p>
      <w:pPr>
        <w:pBdr>
          <w:bottom w:val="single" w:color="BFDBFE" w:sz="4" w:space="1"/>
        </w:pBdr>
        <w:spacing w:before="240" w:after="240"/>
      </w:pPr>
    </w:p>
    <w:p>
      <w:pPr>
        <w:pStyle w:val="Heading1"/>
        <w:spacing w:before="480" w:after="160"/>
      </w:pPr>
      <w:r>
        <w:rPr>
          <w:rFonts w:ascii="Arial" w:cs="Arial" w:eastAsia="Arial" w:hAnsi="Arial"/>
          <w:b/>
          <w:bCs/>
          <w:color w:val="1A56DB"/>
          <w:sz w:val="36"/>
          <w:szCs w:val="36"/>
        </w:rPr>
        <w:t xml:space="preserve">4. Login Experience</w:t>
      </w:r>
    </w:p>
    <w:p>
      <w:pPr>
        <w:pStyle w:val="ListParagraph"/>
        <w:numPr>
          <w:ilvl w:val="0"/>
          <w:numId w:val="2"/>
        </w:numPr>
        <w:spacing w:before="40" w:after="60"/>
      </w:pPr>
      <w:r>
        <w:rPr>
          <w:rFonts w:ascii="Arial" w:cs="Arial" w:eastAsia="Arial" w:hAnsi="Arial"/>
          <w:b w:val="false"/>
          <w:bCs w:val="false"/>
          <w:color w:val="4B5563"/>
          <w:sz w:val="22"/>
          <w:szCs w:val="22"/>
        </w:rPr>
        <w:t xml:space="preserve">Primary login method: Biometric (Face ID / fingerprint). Default and first-presented option on all supported devices.</w:t>
      </w:r>
    </w:p>
    <w:p>
      <w:pPr>
        <w:pStyle w:val="ListParagraph"/>
        <w:numPr>
          <w:ilvl w:val="0"/>
          <w:numId w:val="2"/>
        </w:numPr>
        <w:spacing w:before="40" w:after="60"/>
      </w:pPr>
      <w:r>
        <w:rPr>
          <w:rFonts w:ascii="Arial" w:cs="Arial" w:eastAsia="Arial" w:hAnsi="Arial"/>
          <w:b w:val="false"/>
          <w:bCs w:val="false"/>
          <w:color w:val="4B5563"/>
          <w:sz w:val="22"/>
          <w:szCs w:val="22"/>
        </w:rPr>
        <w:t xml:space="preserve">PIN fallback available. Password/email login available but secondary — do not surface it prominently.</w:t>
      </w:r>
    </w:p>
    <w:p>
      <w:pPr>
        <w:pStyle w:val="ListParagraph"/>
        <w:numPr>
          <w:ilvl w:val="0"/>
          <w:numId w:val="2"/>
        </w:numPr>
        <w:spacing w:before="40" w:after="60"/>
      </w:pPr>
      <w:r>
        <w:rPr>
          <w:rFonts w:ascii="Arial" w:cs="Arial" w:eastAsia="Arial" w:hAnsi="Arial"/>
          <w:b w:val="false"/>
          <w:bCs w:val="false"/>
          <w:color w:val="4B5563"/>
          <w:sz w:val="22"/>
          <w:szCs w:val="22"/>
        </w:rPr>
        <w:t xml:space="preserve">Session persistence: users should not be asked to re-authenticate within 30 days of inactivity.</w:t>
      </w:r>
    </w:p>
    <w:p>
      <w:pPr>
        <w:pStyle w:val="ListParagraph"/>
        <w:numPr>
          <w:ilvl w:val="0"/>
          <w:numId w:val="2"/>
        </w:numPr>
        <w:spacing w:before="40" w:after="60"/>
      </w:pPr>
      <w:r>
        <w:rPr>
          <w:rFonts w:ascii="Arial" w:cs="Arial" w:eastAsia="Arial" w:hAnsi="Arial"/>
          <w:b w:val="false"/>
          <w:bCs w:val="false"/>
          <w:color w:val="4B5563"/>
          <w:sz w:val="22"/>
          <w:szCs w:val="22"/>
        </w:rPr>
        <w:t xml:space="preserve">No government authentication portals for routine login.</w:t>
      </w:r>
    </w:p>
    <w:p>
      <w:pPr>
        <w:pBdr>
          <w:bottom w:val="single" w:color="BFDBFE" w:sz="4" w:space="1"/>
        </w:pBdr>
        <w:spacing w:before="240" w:after="240"/>
      </w:pPr>
    </w:p>
    <w:p>
      <w:pPr>
        <w:pStyle w:val="Heading1"/>
        <w:spacing w:before="480" w:after="160"/>
      </w:pPr>
      <w:r>
        <w:rPr>
          <w:rFonts w:ascii="Arial" w:cs="Arial" w:eastAsia="Arial" w:hAnsi="Arial"/>
          <w:b/>
          <w:bCs/>
          <w:color w:val="1A56DB"/>
          <w:sz w:val="36"/>
          <w:szCs w:val="36"/>
        </w:rPr>
        <w:t xml:space="preserve">5. Home Dashboard</w:t>
      </w:r>
    </w:p>
    <w:p>
      <w:pPr>
        <w:spacing w:before="60" w:after="80"/>
      </w:pPr>
      <w:r>
        <w:rPr>
          <w:rFonts w:ascii="Arial" w:cs="Arial" w:eastAsia="Arial" w:hAnsi="Arial"/>
          <w:color w:val="4B5563"/>
          <w:sz w:val="22"/>
          <w:szCs w:val="22"/>
        </w:rPr>
        <w:t xml:space="preserve">The dashboard is the user's command centre. It must communicate the user's complete insurance status at a glance and surface the most time-sensitive action in the first viewport.</w:t>
      </w:r>
    </w:p>
    <w:p>
      <w:pPr>
        <w:spacing w:before="120"/>
      </w:pPr>
    </w:p>
    <w:p>
      <w:pPr>
        <w:pStyle w:val="Heading2"/>
        <w:spacing w:before="320" w:after="120"/>
      </w:pPr>
      <w:r>
        <w:rPr>
          <w:rFonts w:ascii="Arial" w:cs="Arial" w:eastAsia="Arial" w:hAnsi="Arial"/>
          <w:b/>
          <w:bCs/>
          <w:color w:val="111827"/>
          <w:sz w:val="26"/>
          <w:szCs w:val="26"/>
        </w:rPr>
        <w:t xml:space="preserve">5.1 Dashboard — 10 Required Elements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UI Element</w:t>
            </w:r>
          </w:p>
        </w:tc>
        <w:tc>
          <w:tcPr>
            <w:tcW w:type="dxa" w:w="576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Description &amp; Behaviour</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1. Total Active Policies Counter</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Large number at top of screen. E.g., '4 Active Policies'. Tapping navigates to My Wallet.</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2. Coverage Progress Circle</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Circular donut chart representing overall protection completeness. Color-coded: green = well covered, amber = gaps detected. Tapping opens AI Insights.</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3. Upcoming Renewals Timeline</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Horizontal scrollable timeline of the next 3 renewal/payment dates. Each card: policy type icon, insurer name, date, premium amount.</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4. AI Insight Card</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Contextual 'Did you know?' tip card, dynamically generated from the user's policies. Dismissable. Refreshes periodically.</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5. Quick Upload Button (+)</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Centrally-placed floating action button (FAB). The primary action of the app. Always visible.</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6. Recent Documents</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Horizontally scrollable row of recently uploaded/modified policies. Thumbnail + policy name. Tapping opens the document.</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7. Agent Link Status</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Persistent status indicator (green icon + agent name) showing agent connection. Tapping opens the Agent section.</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8. Health Check-up Reminder</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Specific nudge card for health benefits. Only shown if user has a health policy with such benefits.</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9. Savings Opportunities Badge</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Card with '€' icon and teaser text highlighting a detected saving. Appears above fold if a saving is detected.</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10. Help / Support Chat Link</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Persistent help button. Opens in-app support chat.</w:t>
            </w:r>
          </w:p>
        </w:tc>
      </w:tr>
    </w:tbl>
    <w:p>
      <w:pPr>
        <w:spacing w:before="160"/>
      </w:pPr>
    </w:p>
    <w:p>
      <w:pPr>
        <w:pStyle w:val="Heading2"/>
        <w:spacing w:before="320" w:after="120"/>
      </w:pPr>
      <w:r>
        <w:rPr>
          <w:rFonts w:ascii="Arial" w:cs="Arial" w:eastAsia="Arial" w:hAnsi="Arial"/>
          <w:b/>
          <w:bCs/>
          <w:color w:val="111827"/>
          <w:sz w:val="26"/>
          <w:szCs w:val="26"/>
        </w:rPr>
        <w:t xml:space="preserve">5.2 Bottom Navigation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Tab</w:t>
            </w:r>
          </w:p>
        </w:tc>
        <w:tc>
          <w:tcPr>
            <w:tcW w:type="dxa" w:w="576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Destination</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Home</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Dashboard</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My Wallet</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Full policy portfolio list</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AI Insights</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Full gap analysis and insight view</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My Agent</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Agent connectivity and document sharing</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Settings</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Account, notifications, security, family sharing</w:t>
            </w:r>
          </w:p>
        </w:tc>
      </w:tr>
    </w:tbl>
    <w:p>
      <w:pPr>
        <w:pBdr>
          <w:bottom w:val="single" w:color="BFDBFE" w:sz="4" w:space="1"/>
        </w:pBdr>
        <w:spacing w:before="240" w:after="240"/>
      </w:pPr>
    </w:p>
    <w:p>
      <w:r>
        <w:br w:type="page"/>
      </w:r>
    </w:p>
    <w:p>
      <w:pPr>
        <w:pStyle w:val="Heading1"/>
        <w:spacing w:before="480" w:after="160"/>
      </w:pPr>
      <w:r>
        <w:rPr>
          <w:rFonts w:ascii="Arial" w:cs="Arial" w:eastAsia="Arial" w:hAnsi="Arial"/>
          <w:b/>
          <w:bCs/>
          <w:color w:val="1A56DB"/>
          <w:sz w:val="36"/>
          <w:szCs w:val="36"/>
        </w:rPr>
        <w:t xml:space="preserve">6. Policy Card System (Quick View)</w:t>
      </w:r>
    </w:p>
    <w:p>
      <w:pPr>
        <w:spacing w:before="60" w:after="80"/>
      </w:pPr>
      <w:r>
        <w:rPr>
          <w:rFonts w:ascii="Arial" w:cs="Arial" w:eastAsia="Arial" w:hAnsi="Arial"/>
          <w:color w:val="4B5563"/>
          <w:sz w:val="22"/>
          <w:szCs w:val="22"/>
        </w:rPr>
        <w:t xml:space="preserve">Each policy type in My Wallet is represented by a type-specific quick-view card. These cards answer the primary user question: 'Am I covered?' The card system must be visually distinct per policy type while maintaining a consistent structural pattern.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60"/>
              <w:left w:type="dxa" w:w="200"/>
              <w:bottom w:type="dxa" w:w="160"/>
              <w:right w:type="dxa" w:w="200"/>
            </w:tcMar>
          </w:tcPr>
          <w:p>
            <w:r>
              <w:rPr>
                <w:rFonts w:ascii="Arial" w:cs="Arial" w:eastAsia="Arial" w:hAnsi="Arial"/>
                <w:b/>
                <w:bCs/>
                <w:color w:val="1A56DB"/>
                <w:sz w:val="22"/>
                <w:szCs w:val="22"/>
              </w:rPr>
              <w:t xml:space="preserve">Card Design Principle:  </w:t>
            </w:r>
            <w:r>
              <w:rPr>
                <w:rFonts w:ascii="Arial" w:cs="Arial" w:eastAsia="Arial" w:hAnsi="Arial"/>
                <w:color w:val="4B5563"/>
                <w:sz w:val="22"/>
                <w:szCs w:val="22"/>
              </w:rPr>
              <w:t xml:space="preserve">Every card must answer the most time-critical question for that policy type within the card itself — without requiring the user to open the full detail view. Think: glanceable, not exhaustive.</w:t>
            </w:r>
          </w:p>
        </w:tc>
      </w:tr>
    </w:tbl>
    <w:p>
      <w:pPr>
        <w:spacing w:before="160"/>
      </w:pPr>
    </w:p>
    <w:p>
      <w:pPr>
        <w:pStyle w:val="Heading2"/>
        <w:spacing w:before="320" w:after="120"/>
      </w:pPr>
      <w:r>
        <w:rPr>
          <w:rFonts w:ascii="Arial" w:cs="Arial" w:eastAsia="Arial" w:hAnsi="Arial"/>
          <w:b/>
          <w:bCs/>
          <w:color w:val="111827"/>
          <w:sz w:val="26"/>
          <w:szCs w:val="26"/>
        </w:rPr>
        <w:t xml:space="preserve">6.1 Health Policy Card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1A56DB" w:sz="1"/>
              <w:left w:val="single" w:color="1A56DB" w:sz="1"/>
              <w:bottom w:val="single" w:color="1A56DB" w:sz="1"/>
              <w:right w:val="single" w:color="1A56DB" w:sz="1"/>
            </w:tcBorders>
            <w:shd w:fill="1A56DB" w:val="clear"/>
            <w:tcMar>
              <w:top w:type="dxa" w:w="120"/>
              <w:left w:type="dxa" w:w="180"/>
              <w:bottom w:type="dxa" w:w="120"/>
              <w:right w:type="dxa" w:w="180"/>
            </w:tcMar>
          </w:tcPr>
          <w:p>
            <w:r>
              <w:rPr>
                <w:rFonts w:ascii="Arial" w:cs="Arial" w:eastAsia="Arial" w:hAnsi="Arial"/>
                <w:b/>
                <w:bCs/>
                <w:color w:val="FFFFFF"/>
                <w:sz w:val="24"/>
                <w:szCs w:val="24"/>
              </w:rPr>
              <w:t xml:space="preserve">Health Card Fields</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111827"/>
                <w:sz w:val="21"/>
                <w:szCs w:val="21"/>
              </w:rPr>
              <w:t xml:space="preserve">Hospital Class</w:t>
            </w:r>
          </w:p>
        </w:tc>
        <w:tc>
          <w:tcPr>
            <w:tcW w:type="dxa" w:w="61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Display room class level: A, B, or C. Badge-style indicator. This is the most frequently referenced field for Health.</w:t>
            </w:r>
          </w:p>
        </w:tc>
      </w:tr>
      <w:tr>
        <w:tc>
          <w:tcPr>
            <w:tcW w:type="dxa" w:w="32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bCs/>
                <w:color w:val="111827"/>
                <w:sz w:val="21"/>
                <w:szCs w:val="21"/>
              </w:rPr>
              <w:t xml:space="preserve">Coordination Centre</w:t>
            </w:r>
          </w:p>
        </w:tc>
        <w:tc>
          <w:tcPr>
            <w:tcW w:type="dxa" w:w="61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Show the Συντονιστικό Κέντρο (coordination centre) name and phone number. Tap-to-call. Critical for network navigation.</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111827"/>
                <w:sz w:val="21"/>
                <w:szCs w:val="21"/>
              </w:rPr>
              <w:t xml:space="preserve">Annual Check-up Status</w:t>
            </w:r>
          </w:p>
        </w:tc>
        <w:tc>
          <w:tcPr>
            <w:tcW w:type="dxa" w:w="61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Badge: 'Included' or 'Not Included'. If included and unused this year, show a nudge indicator.</w:t>
            </w:r>
          </w:p>
        </w:tc>
      </w:tr>
      <w:tr>
        <w:tc>
          <w:tcPr>
            <w:tcW w:type="dxa" w:w="32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bCs/>
                <w:color w:val="111827"/>
                <w:sz w:val="21"/>
                <w:szCs w:val="21"/>
              </w:rPr>
              <w:t xml:space="preserve">Direct Billing Status</w:t>
            </w:r>
          </w:p>
        </w:tc>
        <w:tc>
          <w:tcPr>
            <w:tcW w:type="dxa" w:w="61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On/off badge: 'Direct Billing Available'. If on, links to hospital network list.</w:t>
            </w:r>
          </w:p>
        </w:tc>
      </w:tr>
    </w:tbl>
    <w:p>
      <w:pPr>
        <w:spacing w:before="160"/>
      </w:pPr>
    </w:p>
    <w:p>
      <w:pPr>
        <w:pStyle w:val="Heading2"/>
        <w:spacing w:before="320" w:after="120"/>
      </w:pPr>
      <w:r>
        <w:rPr>
          <w:rFonts w:ascii="Arial" w:cs="Arial" w:eastAsia="Arial" w:hAnsi="Arial"/>
          <w:b/>
          <w:bCs/>
          <w:color w:val="111827"/>
          <w:sz w:val="26"/>
          <w:szCs w:val="26"/>
        </w:rPr>
        <w:t xml:space="preserve">6.2 Motor (Auto) Policy Card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1A56DB" w:sz="1"/>
              <w:left w:val="single" w:color="1A56DB" w:sz="1"/>
              <w:bottom w:val="single" w:color="1A56DB" w:sz="1"/>
              <w:right w:val="single" w:color="1A56DB" w:sz="1"/>
            </w:tcBorders>
            <w:shd w:fill="1A56DB" w:val="clear"/>
            <w:tcMar>
              <w:top w:type="dxa" w:w="120"/>
              <w:left w:type="dxa" w:w="180"/>
              <w:bottom w:type="dxa" w:w="120"/>
              <w:right w:type="dxa" w:w="180"/>
            </w:tcMar>
          </w:tcPr>
          <w:p>
            <w:r>
              <w:rPr>
                <w:rFonts w:ascii="Arial" w:cs="Arial" w:eastAsia="Arial" w:hAnsi="Arial"/>
                <w:b/>
                <w:bCs/>
                <w:color w:val="FFFFFF"/>
                <w:sz w:val="24"/>
                <w:szCs w:val="24"/>
              </w:rPr>
              <w:t xml:space="preserve">Motor Card Fields</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111827"/>
                <w:sz w:val="21"/>
                <w:szCs w:val="21"/>
              </w:rPr>
              <w:t xml:space="preserve">Vehicle Identifier</w:t>
            </w:r>
          </w:p>
        </w:tc>
        <w:tc>
          <w:tcPr>
            <w:tcW w:type="dxa" w:w="61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License plate number + vehicle make/model. Prominently displayed.</w:t>
            </w:r>
          </w:p>
        </w:tc>
      </w:tr>
      <w:tr>
        <w:tc>
          <w:tcPr>
            <w:tcW w:type="dxa" w:w="32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bCs/>
                <w:color w:val="111827"/>
                <w:sz w:val="21"/>
                <w:szCs w:val="21"/>
              </w:rPr>
              <w:t xml:space="preserve">Coverage Tier</w:t>
            </w:r>
          </w:p>
        </w:tc>
        <w:tc>
          <w:tcPr>
            <w:tcW w:type="dxa" w:w="61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E.g., 'Third Party' / 'Third Party + Fire &amp; Theft' / 'Comprehensive'. Color-coded badge.</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111827"/>
                <w:sz w:val="21"/>
                <w:szCs w:val="21"/>
              </w:rPr>
              <w:t xml:space="preserve">Green Card Validity</w:t>
            </w:r>
          </w:p>
        </w:tc>
        <w:tc>
          <w:tcPr>
            <w:tcW w:type="dxa" w:w="61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Expiry date of the international insurance certificate. Warning badge if expiring within 30 days.</w:t>
            </w:r>
          </w:p>
        </w:tc>
      </w:tr>
      <w:tr>
        <w:tc>
          <w:tcPr>
            <w:tcW w:type="dxa" w:w="32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bCs/>
                <w:color w:val="111827"/>
                <w:sz w:val="21"/>
                <w:szCs w:val="21"/>
              </w:rPr>
              <w:t xml:space="preserve">Named Drivers</w:t>
            </w:r>
          </w:p>
        </w:tc>
        <w:tc>
          <w:tcPr>
            <w:tcW w:type="dxa" w:w="61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List of named drivers on the policy. Expandable if more than 2.</w:t>
            </w:r>
          </w:p>
        </w:tc>
      </w:tr>
    </w:tbl>
    <w:p>
      <w:pPr>
        <w:spacing w:before="160"/>
      </w:pPr>
    </w:p>
    <w:p>
      <w:pPr>
        <w:pStyle w:val="Heading2"/>
        <w:spacing w:before="320" w:after="120"/>
      </w:pPr>
      <w:r>
        <w:rPr>
          <w:rFonts w:ascii="Arial" w:cs="Arial" w:eastAsia="Arial" w:hAnsi="Arial"/>
          <w:b/>
          <w:bCs/>
          <w:color w:val="111827"/>
          <w:sz w:val="26"/>
          <w:szCs w:val="26"/>
        </w:rPr>
        <w:t xml:space="preserve">6.3 Home Policy Card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1A56DB" w:sz="1"/>
              <w:left w:val="single" w:color="1A56DB" w:sz="1"/>
              <w:bottom w:val="single" w:color="1A56DB" w:sz="1"/>
              <w:right w:val="single" w:color="1A56DB" w:sz="1"/>
            </w:tcBorders>
            <w:shd w:fill="1A56DB" w:val="clear"/>
            <w:tcMar>
              <w:top w:type="dxa" w:w="120"/>
              <w:left w:type="dxa" w:w="180"/>
              <w:bottom w:type="dxa" w:w="120"/>
              <w:right w:type="dxa" w:w="180"/>
            </w:tcMar>
          </w:tcPr>
          <w:p>
            <w:r>
              <w:rPr>
                <w:rFonts w:ascii="Arial" w:cs="Arial" w:eastAsia="Arial" w:hAnsi="Arial"/>
                <w:b/>
                <w:bCs/>
                <w:color w:val="FFFFFF"/>
                <w:sz w:val="24"/>
                <w:szCs w:val="24"/>
              </w:rPr>
              <w:t xml:space="preserve">Home Card Fields</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111827"/>
                <w:sz w:val="21"/>
                <w:szCs w:val="21"/>
              </w:rPr>
              <w:t xml:space="preserve">Property Address</w:t>
            </w:r>
          </w:p>
        </w:tc>
        <w:tc>
          <w:tcPr>
            <w:tcW w:type="dxa" w:w="61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Full insured address. Tap to copy.</w:t>
            </w:r>
          </w:p>
        </w:tc>
      </w:tr>
      <w:tr>
        <w:tc>
          <w:tcPr>
            <w:tcW w:type="dxa" w:w="32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bCs/>
                <w:color w:val="111827"/>
                <w:sz w:val="21"/>
                <w:szCs w:val="21"/>
              </w:rPr>
              <w:t xml:space="preserve">ENFIA Tax Deduction Badge</w:t>
            </w:r>
          </w:p>
        </w:tc>
        <w:tc>
          <w:tcPr>
            <w:tcW w:type="dxa" w:w="61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Badge indicator: 'ENFIA Eligible' or 'Not Eligible'. Based on whether the policy meets Fire + Earthquake + Flood criteria. High relevance in the Greek market.</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111827"/>
                <w:sz w:val="21"/>
                <w:szCs w:val="21"/>
              </w:rPr>
              <w:t xml:space="preserve">Catastrophe Coverage</w:t>
            </w:r>
          </w:p>
        </w:tc>
        <w:tc>
          <w:tcPr>
            <w:tcW w:type="dxa" w:w="61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Three separate on/off badges: Fire, Earthquake, Flood. Visual traffic-light style.</w:t>
            </w:r>
          </w:p>
        </w:tc>
      </w:tr>
      <w:tr>
        <w:tc>
          <w:tcPr>
            <w:tcW w:type="dxa" w:w="32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bCs/>
                <w:color w:val="111827"/>
                <w:sz w:val="21"/>
                <w:szCs w:val="21"/>
              </w:rPr>
              <w:t xml:space="preserve">Insured Value</w:t>
            </w:r>
          </w:p>
        </w:tc>
        <w:tc>
          <w:tcPr>
            <w:tcW w:type="dxa" w:w="61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Displayed property value. Warning badge if potentially underinsured vs. construction cost index.</w:t>
            </w:r>
          </w:p>
        </w:tc>
      </w:tr>
    </w:tbl>
    <w:p>
      <w:pPr>
        <w:spacing w:before="160"/>
      </w:pPr>
    </w:p>
    <w:p>
      <w:pPr>
        <w:pStyle w:val="Heading2"/>
        <w:spacing w:before="320" w:after="120"/>
      </w:pPr>
      <w:r>
        <w:rPr>
          <w:rFonts w:ascii="Arial" w:cs="Arial" w:eastAsia="Arial" w:hAnsi="Arial"/>
          <w:b/>
          <w:bCs/>
          <w:color w:val="111827"/>
          <w:sz w:val="26"/>
          <w:szCs w:val="26"/>
        </w:rPr>
        <w:t xml:space="preserve">6.4 Investment Life Policy Card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1A56DB" w:sz="1"/>
              <w:left w:val="single" w:color="1A56DB" w:sz="1"/>
              <w:bottom w:val="single" w:color="1A56DB" w:sz="1"/>
              <w:right w:val="single" w:color="1A56DB" w:sz="1"/>
            </w:tcBorders>
            <w:shd w:fill="1A56DB" w:val="clear"/>
            <w:tcMar>
              <w:top w:type="dxa" w:w="120"/>
              <w:left w:type="dxa" w:w="180"/>
              <w:bottom w:type="dxa" w:w="120"/>
              <w:right w:type="dxa" w:w="180"/>
            </w:tcMar>
          </w:tcPr>
          <w:p>
            <w:r>
              <w:rPr>
                <w:rFonts w:ascii="Arial" w:cs="Arial" w:eastAsia="Arial" w:hAnsi="Arial"/>
                <w:b/>
                <w:bCs/>
                <w:color w:val="FFFFFF"/>
                <w:sz w:val="24"/>
                <w:szCs w:val="24"/>
              </w:rPr>
              <w:t xml:space="preserve">Investment Life Card Fields</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111827"/>
                <w:sz w:val="21"/>
                <w:szCs w:val="21"/>
              </w:rPr>
              <w:t xml:space="preserve">Current Fund Value</w:t>
            </w:r>
          </w:p>
        </w:tc>
        <w:tc>
          <w:tcPr>
            <w:tcW w:type="dxa" w:w="61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Live or last-updated fund value in euros. Prominent display.</w:t>
            </w:r>
          </w:p>
        </w:tc>
      </w:tr>
      <w:tr>
        <w:tc>
          <w:tcPr>
            <w:tcW w:type="dxa" w:w="32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bCs/>
                <w:color w:val="111827"/>
                <w:sz w:val="21"/>
                <w:szCs w:val="21"/>
              </w:rPr>
              <w:t xml:space="preserve">YTD Growth</w:t>
            </w:r>
          </w:p>
        </w:tc>
        <w:tc>
          <w:tcPr>
            <w:tcW w:type="dxa" w:w="61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Year-to-date growth percentage. Green if positive, red if negative.</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111827"/>
                <w:sz w:val="21"/>
                <w:szCs w:val="21"/>
              </w:rPr>
              <w:t xml:space="preserve">Tax-Free Maturity Status</w:t>
            </w:r>
          </w:p>
        </w:tc>
        <w:tc>
          <w:tcPr>
            <w:tcW w:type="dxa" w:w="61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Badge: 'Tax-Free at Maturity' or 'Taxable'. Key value indicator.</w:t>
            </w:r>
          </w:p>
        </w:tc>
      </w:tr>
      <w:tr>
        <w:tc>
          <w:tcPr>
            <w:tcW w:type="dxa" w:w="32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bCs/>
                <w:color w:val="111827"/>
                <w:sz w:val="21"/>
                <w:szCs w:val="21"/>
              </w:rPr>
              <w:t xml:space="preserve">Guaranteed vs. Unit-Linked Split</w:t>
            </w:r>
          </w:p>
        </w:tc>
        <w:tc>
          <w:tcPr>
            <w:tcW w:type="dxa" w:w="61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Visual split bar (e.g., 60% guaranteed / 40% unit-linked). Helps user understand risk exposure at a glance.</w:t>
            </w:r>
          </w:p>
        </w:tc>
      </w:tr>
    </w:tbl>
    <w:p>
      <w:pPr>
        <w:spacing w:before="160"/>
      </w:pPr>
    </w:p>
    <w:p>
      <w:pPr>
        <w:pStyle w:val="Heading2"/>
        <w:spacing w:before="320" w:after="120"/>
      </w:pPr>
      <w:r>
        <w:rPr>
          <w:rFonts w:ascii="Arial" w:cs="Arial" w:eastAsia="Arial" w:hAnsi="Arial"/>
          <w:b/>
          <w:bCs/>
          <w:color w:val="111827"/>
          <w:sz w:val="26"/>
          <w:szCs w:val="26"/>
        </w:rPr>
        <w:t xml:space="preserve">6.5 Pet Insurance Card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1A56DB" w:sz="1"/>
              <w:left w:val="single" w:color="1A56DB" w:sz="1"/>
              <w:bottom w:val="single" w:color="1A56DB" w:sz="1"/>
              <w:right w:val="single" w:color="1A56DB" w:sz="1"/>
            </w:tcBorders>
            <w:shd w:fill="1A56DB" w:val="clear"/>
            <w:tcMar>
              <w:top w:type="dxa" w:w="120"/>
              <w:left w:type="dxa" w:w="180"/>
              <w:bottom w:type="dxa" w:w="120"/>
              <w:right w:type="dxa" w:w="180"/>
            </w:tcMar>
          </w:tcPr>
          <w:p>
            <w:r>
              <w:rPr>
                <w:rFonts w:ascii="Arial" w:cs="Arial" w:eastAsia="Arial" w:hAnsi="Arial"/>
                <w:b/>
                <w:bCs/>
                <w:color w:val="FFFFFF"/>
                <w:sz w:val="24"/>
                <w:szCs w:val="24"/>
              </w:rPr>
              <w:t xml:space="preserve">Pet Insurance Card Fields</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111827"/>
                <w:sz w:val="21"/>
                <w:szCs w:val="21"/>
              </w:rPr>
              <w:t xml:space="preserve">Microchip Number</w:t>
            </w:r>
          </w:p>
        </w:tc>
        <w:tc>
          <w:tcPr>
            <w:tcW w:type="dxa" w:w="61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Pet's microchip ID. Tap to copy. Critical for vet visits.</w:t>
            </w:r>
          </w:p>
        </w:tc>
      </w:tr>
      <w:tr>
        <w:tc>
          <w:tcPr>
            <w:tcW w:type="dxa" w:w="32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bCs/>
                <w:color w:val="111827"/>
                <w:sz w:val="21"/>
                <w:szCs w:val="21"/>
              </w:rPr>
              <w:t xml:space="preserve">Annual Limit Progress</w:t>
            </w:r>
          </w:p>
        </w:tc>
        <w:tc>
          <w:tcPr>
            <w:tcW w:type="dxa" w:w="61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Progress bar: amount used vs. annual coverage limit. E.g., '€320 used of €1,500.'</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111827"/>
                <w:sz w:val="21"/>
                <w:szCs w:val="21"/>
              </w:rPr>
              <w:t xml:space="preserve">Breed-Specific Disease Coverage</w:t>
            </w:r>
          </w:p>
        </w:tc>
        <w:tc>
          <w:tcPr>
            <w:tcW w:type="dxa" w:w="61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Key condition badge. Specifically: Leishmania (Κάλαζαρ) coverage status. On/off badge — highly relevant in the Greek context.</w:t>
            </w:r>
          </w:p>
        </w:tc>
      </w:tr>
      <w:tr>
        <w:tc>
          <w:tcPr>
            <w:tcW w:type="dxa" w:w="32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bCs/>
                <w:color w:val="111827"/>
                <w:sz w:val="21"/>
                <w:szCs w:val="21"/>
              </w:rPr>
              <w:t xml:space="preserve">Direct Payment Status</w:t>
            </w:r>
          </w:p>
        </w:tc>
        <w:tc>
          <w:tcPr>
            <w:tcW w:type="dxa" w:w="61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Badge: 'Direct Vet Payment' available or not.</w:t>
            </w:r>
          </w:p>
        </w:tc>
      </w:tr>
    </w:tbl>
    <w:p>
      <w:pPr>
        <w:pBdr>
          <w:bottom w:val="single" w:color="BFDBFE" w:sz="4" w:space="1"/>
        </w:pBdr>
        <w:spacing w:before="240" w:after="240"/>
      </w:pPr>
    </w:p>
    <w:p>
      <w:r>
        <w:br w:type="page"/>
      </w:r>
    </w:p>
    <w:p>
      <w:pPr>
        <w:pStyle w:val="Heading1"/>
        <w:spacing w:before="480" w:after="160"/>
      </w:pPr>
      <w:r>
        <w:rPr>
          <w:rFonts w:ascii="Arial" w:cs="Arial" w:eastAsia="Arial" w:hAnsi="Arial"/>
          <w:b/>
          <w:bCs/>
          <w:color w:val="1A56DB"/>
          <w:sz w:val="36"/>
          <w:szCs w:val="36"/>
        </w:rPr>
        <w:t xml:space="preserve">7. Detailed Coverage Views</w:t>
      </w:r>
    </w:p>
    <w:p>
      <w:pPr>
        <w:spacing w:before="60" w:after="80"/>
      </w:pPr>
      <w:r>
        <w:rPr>
          <w:rFonts w:ascii="Arial" w:cs="Arial" w:eastAsia="Arial" w:hAnsi="Arial"/>
          <w:color w:val="4B5563"/>
          <w:sz w:val="22"/>
          <w:szCs w:val="22"/>
        </w:rPr>
        <w:t xml:space="preserve">The full policy detail view answers two deeper questions: 'What exactly is covered?' and 'How do I use it?' It transforms a 20-page legal PDF into a structured, plain-language summary. The first time a user views this screen is a pivotal product moment — the design must feel genuinely revelatory.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60"/>
              <w:left w:type="dxa" w:w="200"/>
              <w:bottom w:type="dxa" w:w="160"/>
              <w:right w:type="dxa" w:w="200"/>
            </w:tcMar>
          </w:tcPr>
          <w:p>
            <w:r>
              <w:rPr>
                <w:rFonts w:ascii="Arial" w:cs="Arial" w:eastAsia="Arial" w:hAnsi="Arial"/>
                <w:b/>
                <w:bCs/>
                <w:color w:val="1A56DB"/>
                <w:sz w:val="22"/>
                <w:szCs w:val="22"/>
              </w:rPr>
              <w:t xml:space="preserve">Layout Structure:  </w:t>
            </w:r>
            <w:r>
              <w:rPr>
                <w:rFonts w:ascii="Arial" w:cs="Arial" w:eastAsia="Arial" w:hAnsi="Arial"/>
                <w:color w:val="4B5563"/>
                <w:sz w:val="22"/>
                <w:szCs w:val="22"/>
              </w:rPr>
              <w:t xml:space="preserve">The view is split into two primary tabs: 'What's Covered' (positive coverage list) and 'What's NOT Covered' (exclusions, clearly labeled). All content must be in plain language — no insurance jargon without a tooltip explanation.</w:t>
            </w:r>
          </w:p>
        </w:tc>
      </w:tr>
    </w:tbl>
    <w:p>
      <w:pPr>
        <w:spacing w:before="160"/>
      </w:pPr>
    </w:p>
    <w:p>
      <w:pPr>
        <w:pStyle w:val="Heading2"/>
        <w:spacing w:before="320" w:after="120"/>
      </w:pPr>
      <w:r>
        <w:rPr>
          <w:rFonts w:ascii="Arial" w:cs="Arial" w:eastAsia="Arial" w:hAnsi="Arial"/>
          <w:b/>
          <w:bCs/>
          <w:color w:val="111827"/>
          <w:sz w:val="26"/>
          <w:szCs w:val="26"/>
        </w:rPr>
        <w:t xml:space="preserve">7.1 Health — Detailed View</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Field / Feature</w:t>
            </w:r>
          </w:p>
        </w:tc>
        <w:tc>
          <w:tcPr>
            <w:tcW w:type="dxa" w:w="576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UI Requirement</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Coordination Centre (Συντονιστικό Κέντρο)</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Name, phone number (tap-to-call), and operating hours. Explain its role in a plain-language tooltip: 'Call this number before any planned hospital visit to coordinate your coverage.'</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Network Hospital List</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Searchable, filterable list of covered hospitals. Filter by: city, specialty, direct billing. Tap to open in maps.</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Excluded Providers</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Clearly labeled list of excluded hospitals or providers. Visually distinct (e.g., grey with strikethrough or red badge).</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Free Annual Check-up</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Prominent card: 'Your plan includes a free annual check-up.' Status: Used / Not Used this year. CTA: 'Book Now' (links to coordination centre).</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Waiting Periods</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Per-benefit waiting period clearly labeled with end dates. E.g., 'Maternity: covered from 1 Jan 2025.'</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Outpatient Coverage Limit</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Remaining limit displayed as a progress bar: 'Used €450 of €2,000.'</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Deductible Per Claim</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Displayed clearly per benefit category.</w:t>
            </w:r>
          </w:p>
        </w:tc>
      </w:tr>
    </w:tbl>
    <w:p>
      <w:pPr>
        <w:spacing w:before="160"/>
      </w:pPr>
    </w:p>
    <w:p>
      <w:pPr>
        <w:pStyle w:val="Heading2"/>
        <w:spacing w:before="320" w:after="120"/>
      </w:pPr>
      <w:r>
        <w:rPr>
          <w:rFonts w:ascii="Arial" w:cs="Arial" w:eastAsia="Arial" w:hAnsi="Arial"/>
          <w:b/>
          <w:bCs/>
          <w:color w:val="111827"/>
          <w:sz w:val="26"/>
          <w:szCs w:val="26"/>
        </w:rPr>
        <w:t xml:space="preserve">7.2 Motor (Auto) — Detailed View</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Field / Feature</w:t>
            </w:r>
          </w:p>
        </w:tc>
        <w:tc>
          <w:tcPr>
            <w:tcW w:type="dxa" w:w="576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UI Requirement</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Accident Declaration (Δήλωση Ατυχήματος)</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Dedicated prominent button/card with phone number (tap-to-call). Must be visually distinct from Roadside Assistance — these are different services with different numbers. Do not combine.</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Roadside Assistance (Οδική Βοήθεια)</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Separate prominent button/card with its own phone number (tap-to-call). Labelled clearly as Roadside Assistance. Cited by users as 'crucial.' Should be reachable in 1 tap.</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Named Drivers</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Full list with names and ages. Editable with a note field.</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Green Card Status</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Validity dates. Download button for the digital green card image.</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Third-Party Liability Limits</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Per-person and per-event limits. Plain-language explanation of what this means.</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Own Vehicle Damage</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Coverage status and deductible. On/off badge.</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Glass / Screen Breakage</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On/off coverage badge. Separate deductible if applicable.</w:t>
            </w:r>
          </w:p>
        </w:tc>
      </w:tr>
    </w:tbl>
    <w:p>
      <w:pPr>
        <w:spacing w:before="160"/>
      </w:pPr>
    </w:p>
    <w:p>
      <w:pPr>
        <w:pStyle w:val="Heading2"/>
        <w:spacing w:before="320" w:after="120"/>
      </w:pPr>
      <w:r>
        <w:rPr>
          <w:rFonts w:ascii="Arial" w:cs="Arial" w:eastAsia="Arial" w:hAnsi="Arial"/>
          <w:b/>
          <w:bCs/>
          <w:color w:val="111827"/>
          <w:sz w:val="26"/>
          <w:szCs w:val="26"/>
        </w:rPr>
        <w:t xml:space="preserve">7.3 Home — Detailed View</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Field / Feature</w:t>
            </w:r>
          </w:p>
        </w:tc>
        <w:tc>
          <w:tcPr>
            <w:tcW w:type="dxa" w:w="576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UI Requirement</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ENFIA Tax Criteria Validation</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Interactive checklist: Fire covered? (tick/cross), Earthquake covered? (tick/cross), Flood covered? (tick/cross). If all three met: 'ENFIA Eligible' badge. Plain-language explanation of the deduction benefit.</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Catastrophe Coverage Status</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Dedicated section with on/off status per peril: Fire, Earthquake (flagged as critical for Athens), Flood. Gap alert if any are off.</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Mortgagee Bank</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If applicable: bank name and policy assignment details. Informs the user their insurer may need to notify the bank on changes.</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24/7 Technical Assistance</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Dedicated card with phone number (tap-to-call). Services list: plumber, electrician, locksmith, etc.</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Theft Coverage Limit</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Amount displayed. Plain-language note on what qualifies as covered theft.</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Insured vs. Replacement Value</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Side-by-side comparison. Warning if insured value is below the construction cost index benchmark.</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Contents vs. Structure Coverage</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Clearly split: what covers the building vs. what covers possessions.</w:t>
            </w:r>
          </w:p>
        </w:tc>
      </w:tr>
    </w:tbl>
    <w:p>
      <w:pPr>
        <w:spacing w:before="160"/>
      </w:pPr>
    </w:p>
    <w:p>
      <w:pPr>
        <w:pStyle w:val="Heading2"/>
        <w:spacing w:before="320" w:after="120"/>
      </w:pPr>
      <w:r>
        <w:rPr>
          <w:rFonts w:ascii="Arial" w:cs="Arial" w:eastAsia="Arial" w:hAnsi="Arial"/>
          <w:b/>
          <w:bCs/>
          <w:color w:val="111827"/>
          <w:sz w:val="26"/>
          <w:szCs w:val="26"/>
        </w:rPr>
        <w:t xml:space="preserve">7.4 Investment Life — Detailed View</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Field / Feature</w:t>
            </w:r>
          </w:p>
        </w:tc>
        <w:tc>
          <w:tcPr>
            <w:tcW w:type="dxa" w:w="576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UI Requirement</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Fund Allocation Breakdown</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Visual pie or bar chart: allocation by fund name and percentage. Tap a segment to see fund details.</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Guaranteed vs. Unit-Linked Split</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Prominent split visualisation. Plain-language explanation of the difference and risk profile.</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Beneficiaries</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Named beneficiaries with percentages. Editable via 'Request Change' CTA (links to agent or insurer form).</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Last Premium Details</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Amount, date paid, next due date.</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Tax-Free Maturity Information</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Eligibility status with plain-language explanation of the 10-year rule (Greek tax law context).</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Goal Timeline Visualisation</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Chart: target maturity value vs. current projected path. Updated with YTD performance.</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Surrender Value</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Current surrender value with warning about early exit penalties.</w:t>
            </w:r>
          </w:p>
        </w:tc>
      </w:tr>
    </w:tbl>
    <w:p>
      <w:pPr>
        <w:spacing w:before="160"/>
      </w:pPr>
    </w:p>
    <w:p>
      <w:pPr>
        <w:pStyle w:val="Heading2"/>
        <w:spacing w:before="320" w:after="120"/>
      </w:pPr>
      <w:r>
        <w:rPr>
          <w:rFonts w:ascii="Arial" w:cs="Arial" w:eastAsia="Arial" w:hAnsi="Arial"/>
          <w:b/>
          <w:bCs/>
          <w:color w:val="111827"/>
          <w:sz w:val="26"/>
          <w:szCs w:val="26"/>
        </w:rPr>
        <w:t xml:space="preserve">7.5 Pet Insurance — Detailed View</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Field / Feature</w:t>
            </w:r>
          </w:p>
        </w:tc>
        <w:tc>
          <w:tcPr>
            <w:tcW w:type="dxa" w:w="576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UI Requirement</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Breed Health Radar</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Visual radar/spider chart showing breed-specific health risk profile. E.g., for Labrador: high hip dysplasia risk, moderate eye conditions. Sourced from breed health data.</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Covered Hereditary Conditions</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List of covered breed-specific hereditary conditions. Green tick per item.</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Uncovered Hereditary Conditions</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List of exclusions specific to the breed. Red cross per item. Plain-language explanation of why.</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Leishmania (Κάλαζαρ) Coverage</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Dedicated badge: Covered / Not Covered. Given the prevalence in Greece, this must be prominently displayed and not buried in a list.</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Vet Network</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Searchable list of partner vets. Filter by: city, specialty, direct payment status.</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Direct Payment Status</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If available: vets that accept direct billing are tagged 'Direct Pay.' Explained in plain language.</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Waiting Period Status</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Per-condition waiting period tracker. Progress bar per condition showing when coverage activates.</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Annual Limit Progress</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Detailed breakdown: €X used of €Y total, with per-category sub-limits if applicable.</w:t>
            </w:r>
          </w:p>
        </w:tc>
      </w:tr>
    </w:tbl>
    <w:p>
      <w:pPr>
        <w:pBdr>
          <w:bottom w:val="single" w:color="BFDBFE" w:sz="4" w:space="1"/>
        </w:pBdr>
        <w:spacing w:before="240" w:after="240"/>
      </w:pPr>
    </w:p>
    <w:p>
      <w:r>
        <w:br w:type="page"/>
      </w:r>
    </w:p>
    <w:p>
      <w:pPr>
        <w:pStyle w:val="Heading1"/>
        <w:spacing w:before="480" w:after="160"/>
      </w:pPr>
      <w:r>
        <w:rPr>
          <w:rFonts w:ascii="Arial" w:cs="Arial" w:eastAsia="Arial" w:hAnsi="Arial"/>
          <w:b/>
          <w:bCs/>
          <w:color w:val="1A56DB"/>
          <w:sz w:val="36"/>
          <w:szCs w:val="36"/>
        </w:rPr>
        <w:t xml:space="preserve">8. Dynamic Gap Analysis Engine</w:t>
      </w:r>
    </w:p>
    <w:p>
      <w:pPr>
        <w:spacing w:before="60" w:after="80"/>
      </w:pPr>
      <w:r>
        <w:rPr>
          <w:rFonts w:ascii="Arial" w:cs="Arial" w:eastAsia="Arial" w:hAnsi="Arial"/>
          <w:color w:val="4B5563"/>
          <w:sz w:val="22"/>
          <w:szCs w:val="22"/>
        </w:rPr>
        <w:t xml:space="preserve">The Gap Analysis Engine is the primary revenue-generating feature of PolicyWallet. It analyses each policy against benchmarks, usage patterns, and cross-policy data to surface personalised recommendations. From a UI perspective, this must feel like a trusted financial advisor — not an upsell machine. Every insight must explain the user's risk or saving in plain language before presenting a CTA.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BEB" w:sz="1"/>
              <w:left w:val="single" w:color="FFFBEB" w:sz="1"/>
              <w:bottom w:val="single" w:color="FFFBEB" w:sz="1"/>
              <w:right w:val="single" w:color="FFFBEB" w:sz="1"/>
            </w:tcBorders>
            <w:shd w:fill="FFFBEB" w:val="clear"/>
            <w:tcMar>
              <w:top w:type="dxa" w:w="140"/>
              <w:left w:type="dxa" w:w="200"/>
              <w:bottom w:type="dxa" w:w="140"/>
              <w:right w:type="dxa" w:w="200"/>
            </w:tcMar>
          </w:tcPr>
          <w:p>
            <w:pPr>
              <w:spacing w:after="60"/>
            </w:pPr>
            <w:r>
              <w:rPr>
                <w:rFonts w:ascii="Arial" w:cs="Arial" w:eastAsia="Arial" w:hAnsi="Arial"/>
                <w:b/>
                <w:bCs/>
                <w:color w:val="92400E"/>
                <w:sz w:val="22"/>
                <w:szCs w:val="22"/>
              </w:rPr>
              <w:t xml:space="preserve">⚠️  UX Critical Requirement</w:t>
            </w:r>
          </w:p>
          <w:p>
            <w:r>
              <w:rPr>
                <w:rFonts w:ascii="Arial" w:cs="Arial" w:eastAsia="Arial" w:hAnsi="Arial"/>
                <w:color w:val="4B5563"/>
                <w:sz w:val="21"/>
                <w:szCs w:val="21"/>
              </w:rPr>
              <w:t xml:space="preserve">All gap analysis insights must lead with the user's benefit (save money, avoid risk) — never with a product pitch. The CTA should be 'Ask Your Agent' or 'Learn More', not 'Buy Now.' Trust is the product.</w:t>
            </w:r>
          </w:p>
        </w:tc>
      </w:tr>
    </w:tbl>
    <w:p>
      <w:pPr>
        <w:spacing w:before="160"/>
      </w:pPr>
    </w:p>
    <w:p>
      <w:pPr>
        <w:pStyle w:val="Heading2"/>
        <w:spacing w:before="320" w:after="120"/>
      </w:pPr>
      <w:r>
        <w:rPr>
          <w:rFonts w:ascii="Arial" w:cs="Arial" w:eastAsia="Arial" w:hAnsi="Arial"/>
          <w:b/>
          <w:bCs/>
          <w:color w:val="111827"/>
          <w:sz w:val="26"/>
          <w:szCs w:val="26"/>
        </w:rPr>
        <w:t xml:space="preserve">8.1 Gap Analysis — Home &amp; Liability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BFDBFE" w:sz="1"/>
              <w:left w:val="single" w:color="BFDBFE" w:sz="1"/>
              <w:bottom w:val="single" w:color="BFDBFE" w:sz="1"/>
              <w:right w:val="single" w:color="BFDBFE" w:sz="1"/>
            </w:tcBorders>
            <w:shd w:fill="1A56DB" w:val="clear"/>
            <w:tcMar>
              <w:top w:type="dxa" w:w="120"/>
              <w:left w:type="dxa" w:w="180"/>
              <w:bottom w:type="dxa" w:w="120"/>
              <w:right w:type="dxa" w:w="180"/>
            </w:tcMar>
          </w:tcPr>
          <w:p>
            <w:r>
              <w:rPr>
                <w:rFonts w:ascii="Arial" w:cs="Arial" w:eastAsia="Arial" w:hAnsi="Arial"/>
                <w:b/>
                <w:bCs/>
                <w:color w:val="FFFFFF"/>
                <w:sz w:val="24"/>
                <w:szCs w:val="24"/>
              </w:rPr>
              <w:t xml:space="preserve">Home &amp; Liability Insurance</w:t>
            </w:r>
            <w:r>
              <w:rPr>
                <w:rFonts w:ascii="Arial" w:cs="Arial" w:eastAsia="Arial" w:hAnsi="Arial"/>
                <w:color w:val="BFDBFE"/>
                <w:sz w:val="21"/>
                <w:szCs w:val="21"/>
              </w:rPr>
              <w:t xml:space="preserve">    Revenue opportunity: €150–400/year opportunity</w:t>
            </w:r>
          </w:p>
        </w:tc>
      </w:tr>
      <w:tr>
        <w:tc>
          <w:tcPr>
            <w:tcW w:type="dxa" w:w="9360"/>
            <w:tcBorders>
              <w:top w:val="single" w:color="BFDBFE" w:sz="1"/>
              <w:left w:val="single" w:color="BFDBFE" w:sz="1"/>
              <w:bottom w:val="single" w:color="BFDBFE" w:sz="1"/>
              <w:right w:val="single" w:color="BFDBFE" w:sz="1"/>
            </w:tcBorders>
            <w:shd w:fill="FFFFFF" w:val="clear"/>
            <w:tcMar>
              <w:top w:type="dxa" w:w="120"/>
              <w:left w:type="dxa" w:w="180"/>
              <w:bottom w:type="dxa" w:w="120"/>
              <w:right w:type="dxa" w:w="180"/>
            </w:tcMar>
          </w:tcPr>
          <w:p>
            <w:pPr>
              <w:pStyle w:val="ListParagraph"/>
              <w:numPr>
                <w:ilvl w:val="0"/>
                <w:numId w:val="2"/>
              </w:numPr>
              <w:spacing w:before="40" w:after="50"/>
            </w:pPr>
            <w:r>
              <w:rPr>
                <w:rFonts w:ascii="Arial" w:cs="Arial" w:eastAsia="Arial" w:hAnsi="Arial"/>
                <w:color w:val="4B5563"/>
                <w:sz w:val="21"/>
                <w:szCs w:val="21"/>
              </w:rPr>
              <w:t xml:space="preserve">Construction Cost Index Comparison: Compare the user's insured property value against the current construction cost benchmark (€1,600/sqm in Athens). If underinsured, display a gap calculation with plain-language risk explanation.</w:t>
            </w:r>
          </w:p>
          <w:p>
            <w:pPr>
              <w:pStyle w:val="ListParagraph"/>
              <w:numPr>
                <w:ilvl w:val="0"/>
                <w:numId w:val="2"/>
              </w:numPr>
              <w:spacing w:before="40" w:after="50"/>
            </w:pPr>
            <w:r>
              <w:rPr>
                <w:rFonts w:ascii="Arial" w:cs="Arial" w:eastAsia="Arial" w:hAnsi="Arial"/>
                <w:color w:val="4B5563"/>
                <w:sz w:val="21"/>
                <w:szCs w:val="21"/>
              </w:rPr>
              <w:t xml:space="preserve">Safe Replacement Value Slider: Interactive slider visualisation allowing the user to see how their coverage maps to actual replacement cost. Shows the coverage gap in euros.</w:t>
            </w:r>
          </w:p>
          <w:p>
            <w:pPr>
              <w:pStyle w:val="ListParagraph"/>
              <w:numPr>
                <w:ilvl w:val="0"/>
                <w:numId w:val="2"/>
              </w:numPr>
              <w:spacing w:before="40" w:after="50"/>
            </w:pPr>
            <w:r>
              <w:rPr>
                <w:rFonts w:ascii="Arial" w:cs="Arial" w:eastAsia="Arial" w:hAnsi="Arial"/>
                <w:color w:val="4B5563"/>
                <w:sz w:val="21"/>
                <w:szCs w:val="21"/>
              </w:rPr>
              <w:t xml:space="preserve">ENFIA Tax Criteria Validation: Check whether the policy meets all three ENFIA deduction criteria (Fire + Earthquake + Flood). If criteria are not fully met, display a 'ENFIA Gap' alert with estimated tax saving if corrected.</w:t>
            </w:r>
          </w:p>
          <w:p>
            <w:pPr>
              <w:pStyle w:val="ListParagraph"/>
              <w:numPr>
                <w:ilvl w:val="0"/>
                <w:numId w:val="2"/>
              </w:numPr>
              <w:spacing w:before="40" w:after="50"/>
            </w:pPr>
            <w:r>
              <w:rPr>
                <w:rFonts w:ascii="Arial" w:cs="Arial" w:eastAsia="Arial" w:hAnsi="Arial"/>
                <w:color w:val="4B5563"/>
                <w:sz w:val="21"/>
                <w:szCs w:val="21"/>
              </w:rPr>
              <w:t xml:space="preserve">Gap Alert CTA: 'Ask Your Agent to Review' — pre-fills a message to the agent with the detected gap details.</w:t>
            </w:r>
          </w:p>
        </w:tc>
      </w:tr>
    </w:tbl>
    <w:p>
      <w:pPr>
        <w:spacing w:before="160"/>
      </w:pPr>
    </w:p>
    <w:p>
      <w:pPr>
        <w:pStyle w:val="Heading2"/>
        <w:spacing w:before="320" w:after="120"/>
      </w:pPr>
      <w:r>
        <w:rPr>
          <w:rFonts w:ascii="Arial" w:cs="Arial" w:eastAsia="Arial" w:hAnsi="Arial"/>
          <w:b/>
          <w:bCs/>
          <w:color w:val="111827"/>
          <w:sz w:val="26"/>
          <w:szCs w:val="26"/>
        </w:rPr>
        <w:t xml:space="preserve">8.2 Gap Analysis — Motor (Auto)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BFDBFE" w:sz="1"/>
              <w:left w:val="single" w:color="BFDBFE" w:sz="1"/>
              <w:bottom w:val="single" w:color="BFDBFE" w:sz="1"/>
              <w:right w:val="single" w:color="BFDBFE" w:sz="1"/>
            </w:tcBorders>
            <w:shd w:fill="1A56DB" w:val="clear"/>
            <w:tcMar>
              <w:top w:type="dxa" w:w="120"/>
              <w:left w:type="dxa" w:w="180"/>
              <w:bottom w:type="dxa" w:w="120"/>
              <w:right w:type="dxa" w:w="180"/>
            </w:tcMar>
          </w:tcPr>
          <w:p>
            <w:r>
              <w:rPr>
                <w:rFonts w:ascii="Arial" w:cs="Arial" w:eastAsia="Arial" w:hAnsi="Arial"/>
                <w:b/>
                <w:bCs/>
                <w:color w:val="FFFFFF"/>
                <w:sz w:val="24"/>
                <w:szCs w:val="24"/>
              </w:rPr>
              <w:t xml:space="preserve">Motor Insurance</w:t>
            </w:r>
            <w:r>
              <w:rPr>
                <w:rFonts w:ascii="Arial" w:cs="Arial" w:eastAsia="Arial" w:hAnsi="Arial"/>
                <w:color w:val="BFDBFE"/>
                <w:sz w:val="21"/>
                <w:szCs w:val="21"/>
              </w:rPr>
              <w:t xml:space="preserve">    Revenue opportunity: €200–600/year opportunity</w:t>
            </w:r>
          </w:p>
        </w:tc>
      </w:tr>
      <w:tr>
        <w:tc>
          <w:tcPr>
            <w:tcW w:type="dxa" w:w="9360"/>
            <w:tcBorders>
              <w:top w:val="single" w:color="BFDBFE" w:sz="1"/>
              <w:left w:val="single" w:color="BFDBFE" w:sz="1"/>
              <w:bottom w:val="single" w:color="BFDBFE" w:sz="1"/>
              <w:right w:val="single" w:color="BFDBFE" w:sz="1"/>
            </w:tcBorders>
            <w:shd w:fill="FFFFFF" w:val="clear"/>
            <w:tcMar>
              <w:top w:type="dxa" w:w="120"/>
              <w:left w:type="dxa" w:w="180"/>
              <w:bottom w:type="dxa" w:w="120"/>
              <w:right w:type="dxa" w:w="180"/>
            </w:tcMar>
          </w:tcPr>
          <w:p>
            <w:pPr>
              <w:pStyle w:val="ListParagraph"/>
              <w:numPr>
                <w:ilvl w:val="0"/>
                <w:numId w:val="2"/>
              </w:numPr>
              <w:spacing w:before="40" w:after="50"/>
            </w:pPr>
            <w:r>
              <w:rPr>
                <w:rFonts w:ascii="Arial" w:cs="Arial" w:eastAsia="Arial" w:hAnsi="Arial"/>
                <w:color w:val="4B5563"/>
                <w:sz w:val="21"/>
                <w:szCs w:val="21"/>
              </w:rPr>
              <w:t xml:space="preserve">Vehicle Depreciation Analysis: Compare the current coverage level against the vehicle's current market value. Flag if the vehicle is overinsured (paying for comprehensive on a low-value vehicle) or underinsured.</w:t>
            </w:r>
          </w:p>
          <w:p>
            <w:pPr>
              <w:pStyle w:val="ListParagraph"/>
              <w:numPr>
                <w:ilvl w:val="0"/>
                <w:numId w:val="2"/>
              </w:numPr>
              <w:spacing w:before="40" w:after="50"/>
            </w:pPr>
            <w:r>
              <w:rPr>
                <w:rFonts w:ascii="Arial" w:cs="Arial" w:eastAsia="Arial" w:hAnsi="Arial"/>
                <w:color w:val="4B5563"/>
                <w:sz w:val="21"/>
                <w:szCs w:val="21"/>
              </w:rPr>
              <w:t xml:space="preserve">Overinsurance Detection: If detected, display: 'You may be wasting €X/year on comprehensive coverage for a vehicle worth €Y. Third-party may be more cost-effective.'</w:t>
            </w:r>
          </w:p>
          <w:p>
            <w:pPr>
              <w:pStyle w:val="ListParagraph"/>
              <w:numPr>
                <w:ilvl w:val="0"/>
                <w:numId w:val="2"/>
              </w:numPr>
              <w:spacing w:before="40" w:after="50"/>
            </w:pPr>
            <w:r>
              <w:rPr>
                <w:rFonts w:ascii="Arial" w:cs="Arial" w:eastAsia="Arial" w:hAnsi="Arial"/>
                <w:color w:val="4B5563"/>
                <w:sz w:val="21"/>
                <w:szCs w:val="21"/>
              </w:rPr>
              <w:t xml:space="preserve">Underinsurance Risk Display: If detected, display: 'In a total loss scenario, you could lose €Y. Your coverage may not fully protect you.'</w:t>
            </w:r>
          </w:p>
          <w:p>
            <w:pPr>
              <w:pStyle w:val="ListParagraph"/>
              <w:numPr>
                <w:ilvl w:val="0"/>
                <w:numId w:val="2"/>
              </w:numPr>
              <w:spacing w:before="40" w:after="50"/>
            </w:pPr>
            <w:r>
              <w:rPr>
                <w:rFonts w:ascii="Arial" w:cs="Arial" w:eastAsia="Arial" w:hAnsi="Arial"/>
                <w:color w:val="4B5563"/>
                <w:sz w:val="21"/>
                <w:szCs w:val="21"/>
              </w:rPr>
              <w:t xml:space="preserve">Legal Protection Coverage Check: Compare current legal protection limit against average court cost benchmarks for motor claims in Greece. Flag if legal protection is absent or insufficient.</w:t>
            </w:r>
          </w:p>
          <w:p>
            <w:pPr>
              <w:pStyle w:val="ListParagraph"/>
              <w:numPr>
                <w:ilvl w:val="0"/>
                <w:numId w:val="2"/>
              </w:numPr>
              <w:spacing w:before="40" w:after="50"/>
            </w:pPr>
            <w:r>
              <w:rPr>
                <w:rFonts w:ascii="Arial" w:cs="Arial" w:eastAsia="Arial" w:hAnsi="Arial"/>
                <w:color w:val="4B5563"/>
                <w:sz w:val="21"/>
                <w:szCs w:val="21"/>
              </w:rPr>
              <w:t xml:space="preserve">Market Value Meter Visualisation: Visual gauge showing the vehicle's current estimated market value vs. insured value. Colour-coded: green = aligned, amber = review, red = significant gap.</w:t>
            </w:r>
          </w:p>
        </w:tc>
      </w:tr>
    </w:tbl>
    <w:p>
      <w:pPr>
        <w:spacing w:before="160"/>
      </w:pPr>
    </w:p>
    <w:p>
      <w:pPr>
        <w:pStyle w:val="Heading2"/>
        <w:spacing w:before="320" w:after="120"/>
      </w:pPr>
      <w:r>
        <w:rPr>
          <w:rFonts w:ascii="Arial" w:cs="Arial" w:eastAsia="Arial" w:hAnsi="Arial"/>
          <w:b/>
          <w:bCs/>
          <w:color w:val="111827"/>
          <w:sz w:val="26"/>
          <w:szCs w:val="26"/>
        </w:rPr>
        <w:t xml:space="preserve">8.3 Gap Analysis — Health</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BFDBFE" w:sz="1"/>
              <w:left w:val="single" w:color="BFDBFE" w:sz="1"/>
              <w:bottom w:val="single" w:color="BFDBFE" w:sz="1"/>
              <w:right w:val="single" w:color="BFDBFE" w:sz="1"/>
            </w:tcBorders>
            <w:shd w:fill="1A56DB" w:val="clear"/>
            <w:tcMar>
              <w:top w:type="dxa" w:w="120"/>
              <w:left w:type="dxa" w:w="180"/>
              <w:bottom w:type="dxa" w:w="120"/>
              <w:right w:type="dxa" w:w="180"/>
            </w:tcMar>
          </w:tcPr>
          <w:p>
            <w:r>
              <w:rPr>
                <w:rFonts w:ascii="Arial" w:cs="Arial" w:eastAsia="Arial" w:hAnsi="Arial"/>
                <w:b/>
                <w:bCs/>
                <w:color w:val="FFFFFF"/>
                <w:sz w:val="24"/>
                <w:szCs w:val="24"/>
              </w:rPr>
              <w:t xml:space="preserve">Health Insurance</w:t>
            </w:r>
            <w:r>
              <w:rPr>
                <w:rFonts w:ascii="Arial" w:cs="Arial" w:eastAsia="Arial" w:hAnsi="Arial"/>
                <w:color w:val="BFDBFE"/>
                <w:sz w:val="21"/>
                <w:szCs w:val="21"/>
              </w:rPr>
              <w:t xml:space="preserve">    Revenue opportunity: €180–400/year opportunity</w:t>
            </w:r>
          </w:p>
        </w:tc>
      </w:tr>
      <w:tr>
        <w:tc>
          <w:tcPr>
            <w:tcW w:type="dxa" w:w="9360"/>
            <w:tcBorders>
              <w:top w:val="single" w:color="BFDBFE" w:sz="1"/>
              <w:left w:val="single" w:color="BFDBFE" w:sz="1"/>
              <w:bottom w:val="single" w:color="BFDBFE" w:sz="1"/>
              <w:right w:val="single" w:color="BFDBFE" w:sz="1"/>
            </w:tcBorders>
            <w:shd w:fill="FFFFFF" w:val="clear"/>
            <w:tcMar>
              <w:top w:type="dxa" w:w="120"/>
              <w:left w:type="dxa" w:w="180"/>
              <w:bottom w:type="dxa" w:w="120"/>
              <w:right w:type="dxa" w:w="180"/>
            </w:tcMar>
          </w:tcPr>
          <w:p>
            <w:pPr>
              <w:pStyle w:val="ListParagraph"/>
              <w:numPr>
                <w:ilvl w:val="0"/>
                <w:numId w:val="2"/>
              </w:numPr>
              <w:spacing w:before="40" w:after="50"/>
            </w:pPr>
            <w:r>
              <w:rPr>
                <w:rFonts w:ascii="Arial" w:cs="Arial" w:eastAsia="Arial" w:hAnsi="Arial"/>
                <w:color w:val="4B5563"/>
                <w:sz w:val="21"/>
                <w:szCs w:val="21"/>
              </w:rPr>
              <w:t xml:space="preserve">Hospital Cost Simulation: Interactive scenario — '5-day surgery (e.g., appendectomy).' Show estimated total hospital cost vs. what the policy covers. Display the out-of-pocket amount in large, clear text.</w:t>
            </w:r>
          </w:p>
          <w:p>
            <w:pPr>
              <w:pStyle w:val="ListParagraph"/>
              <w:numPr>
                <w:ilvl w:val="0"/>
                <w:numId w:val="2"/>
              </w:numPr>
              <w:spacing w:before="40" w:after="50"/>
            </w:pPr>
            <w:r>
              <w:rPr>
                <w:rFonts w:ascii="Arial" w:cs="Arial" w:eastAsia="Arial" w:hAnsi="Arial"/>
                <w:color w:val="4B5563"/>
                <w:sz w:val="21"/>
                <w:szCs w:val="21"/>
              </w:rPr>
              <w:t xml:space="preserve">Out-of-Pocket Calculation: Deductible + co-payment + non-covered items = total user cost per scenario. Make the financial exposure tangible.</w:t>
            </w:r>
          </w:p>
          <w:p>
            <w:pPr>
              <w:pStyle w:val="ListParagraph"/>
              <w:numPr>
                <w:ilvl w:val="0"/>
                <w:numId w:val="2"/>
              </w:numPr>
              <w:spacing w:before="40" w:after="50"/>
            </w:pPr>
            <w:r>
              <w:rPr>
                <w:rFonts w:ascii="Arial" w:cs="Arial" w:eastAsia="Arial" w:hAnsi="Arial"/>
                <w:color w:val="4B5563"/>
                <w:sz w:val="21"/>
                <w:szCs w:val="21"/>
              </w:rPr>
              <w:t xml:space="preserve">Deductible vs. Emergency Savings Gap Analysis: If the user's deductible exceeds a reasonable emergency savings benchmark, flag this as a financial risk. Suggest either increasing coverage or acknowledging the gap.</w:t>
            </w:r>
          </w:p>
          <w:p>
            <w:pPr>
              <w:pStyle w:val="ListParagraph"/>
              <w:numPr>
                <w:ilvl w:val="0"/>
                <w:numId w:val="2"/>
              </w:numPr>
              <w:spacing w:before="40" w:after="50"/>
            </w:pPr>
            <w:r>
              <w:rPr>
                <w:rFonts w:ascii="Arial" w:cs="Arial" w:eastAsia="Arial" w:hAnsi="Arial"/>
                <w:color w:val="4B5563"/>
                <w:sz w:val="21"/>
                <w:szCs w:val="21"/>
              </w:rPr>
              <w:t xml:space="preserve">Room Class Upgrade Analysis: Show the cost difference between current hospital class (e.g., B) and upgrading to A, vs. the real-world comfort and coverage difference.</w:t>
            </w:r>
          </w:p>
        </w:tc>
      </w:tr>
    </w:tbl>
    <w:p>
      <w:pPr>
        <w:spacing w:before="160"/>
      </w:pPr>
    </w:p>
    <w:p>
      <w:pPr>
        <w:pStyle w:val="Heading2"/>
        <w:spacing w:before="320" w:after="120"/>
      </w:pPr>
      <w:r>
        <w:rPr>
          <w:rFonts w:ascii="Arial" w:cs="Arial" w:eastAsia="Arial" w:hAnsi="Arial"/>
          <w:b/>
          <w:bCs/>
          <w:color w:val="111827"/>
          <w:sz w:val="26"/>
          <w:szCs w:val="26"/>
        </w:rPr>
        <w:t xml:space="preserve">8.4 Gap Analysis — Investment Life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BFDBFE" w:sz="1"/>
              <w:left w:val="single" w:color="BFDBFE" w:sz="1"/>
              <w:bottom w:val="single" w:color="BFDBFE" w:sz="1"/>
              <w:right w:val="single" w:color="BFDBFE" w:sz="1"/>
            </w:tcBorders>
            <w:shd w:fill="1A56DB" w:val="clear"/>
            <w:tcMar>
              <w:top w:type="dxa" w:w="120"/>
              <w:left w:type="dxa" w:w="180"/>
              <w:bottom w:type="dxa" w:w="120"/>
              <w:right w:type="dxa" w:w="180"/>
            </w:tcMar>
          </w:tcPr>
          <w:p>
            <w:r>
              <w:rPr>
                <w:rFonts w:ascii="Arial" w:cs="Arial" w:eastAsia="Arial" w:hAnsi="Arial"/>
                <w:b/>
                <w:bCs/>
                <w:color w:val="FFFFFF"/>
                <w:sz w:val="24"/>
                <w:szCs w:val="24"/>
              </w:rPr>
              <w:t xml:space="preserve">Investment Life</w:t>
            </w:r>
            <w:r>
              <w:rPr>
                <w:rFonts w:ascii="Arial" w:cs="Arial" w:eastAsia="Arial" w:hAnsi="Arial"/>
                <w:color w:val="BFDBFE"/>
                <w:sz w:val="21"/>
                <w:szCs w:val="21"/>
              </w:rPr>
              <w:t xml:space="preserve">    Revenue opportunity: €250–800/year opportunity</w:t>
            </w:r>
          </w:p>
        </w:tc>
      </w:tr>
      <w:tr>
        <w:tc>
          <w:tcPr>
            <w:tcW w:type="dxa" w:w="9360"/>
            <w:tcBorders>
              <w:top w:val="single" w:color="BFDBFE" w:sz="1"/>
              <w:left w:val="single" w:color="BFDBFE" w:sz="1"/>
              <w:bottom w:val="single" w:color="BFDBFE" w:sz="1"/>
              <w:right w:val="single" w:color="BFDBFE" w:sz="1"/>
            </w:tcBorders>
            <w:shd w:fill="FFFFFF" w:val="clear"/>
            <w:tcMar>
              <w:top w:type="dxa" w:w="120"/>
              <w:left w:type="dxa" w:w="180"/>
              <w:bottom w:type="dxa" w:w="120"/>
              <w:right w:type="dxa" w:w="180"/>
            </w:tcMar>
          </w:tcPr>
          <w:p>
            <w:pPr>
              <w:pStyle w:val="ListParagraph"/>
              <w:numPr>
                <w:ilvl w:val="0"/>
                <w:numId w:val="2"/>
              </w:numPr>
              <w:spacing w:before="40" w:after="50"/>
            </w:pPr>
            <w:r>
              <w:rPr>
                <w:rFonts w:ascii="Arial" w:cs="Arial" w:eastAsia="Arial" w:hAnsi="Arial"/>
                <w:color w:val="4B5563"/>
                <w:sz w:val="21"/>
                <w:szCs w:val="21"/>
              </w:rPr>
              <w:t xml:space="preserve">Goal Timeline Visualisation: Chart showing the target maturity value (user's financial goal) vs. the current projected path based on fund performance. Update dynamically with YTD data.</w:t>
            </w:r>
          </w:p>
          <w:p>
            <w:pPr>
              <w:pStyle w:val="ListParagraph"/>
              <w:numPr>
                <w:ilvl w:val="0"/>
                <w:numId w:val="2"/>
              </w:numPr>
              <w:spacing w:before="40" w:after="50"/>
            </w:pPr>
            <w:r>
              <w:rPr>
                <w:rFonts w:ascii="Arial" w:cs="Arial" w:eastAsia="Arial" w:hAnsi="Arial"/>
                <w:color w:val="4B5563"/>
                <w:sz w:val="21"/>
                <w:szCs w:val="21"/>
              </w:rPr>
              <w:t xml:space="preserve">Purchasing Power Erosion Analysis: Show the inflation-adjusted real value of the policy's projected payout. E.g., '€100,000 at maturity in 2035 has the purchasing power of €78,000 today.'</w:t>
            </w:r>
          </w:p>
          <w:p>
            <w:pPr>
              <w:pStyle w:val="ListParagraph"/>
              <w:numPr>
                <w:ilvl w:val="0"/>
                <w:numId w:val="2"/>
              </w:numPr>
              <w:spacing w:before="40" w:after="50"/>
            </w:pPr>
            <w:r>
              <w:rPr>
                <w:rFonts w:ascii="Arial" w:cs="Arial" w:eastAsia="Arial" w:hAnsi="Arial"/>
                <w:color w:val="4B5563"/>
                <w:sz w:val="21"/>
                <w:szCs w:val="21"/>
              </w:rPr>
              <w:t xml:space="preserve">Inflation-Adjusted Shortfall Calculation: If the projected real value falls short of the user's goal, display the shortfall and suggest a contribution increase.</w:t>
            </w:r>
          </w:p>
          <w:p>
            <w:pPr>
              <w:pStyle w:val="ListParagraph"/>
              <w:numPr>
                <w:ilvl w:val="0"/>
                <w:numId w:val="2"/>
              </w:numPr>
              <w:spacing w:before="40" w:after="50"/>
            </w:pPr>
            <w:r>
              <w:rPr>
                <w:rFonts w:ascii="Arial" w:cs="Arial" w:eastAsia="Arial" w:hAnsi="Arial"/>
                <w:color w:val="4B5563"/>
                <w:sz w:val="21"/>
                <w:szCs w:val="21"/>
              </w:rPr>
              <w:t xml:space="preserve">Premium Holiday Impact: If the user has taken premium holidays, show the impact on projected maturity value.</w:t>
            </w:r>
          </w:p>
        </w:tc>
      </w:tr>
    </w:tbl>
    <w:p>
      <w:pPr>
        <w:spacing w:before="160"/>
      </w:pPr>
    </w:p>
    <w:p>
      <w:pPr>
        <w:pStyle w:val="Heading2"/>
        <w:spacing w:before="320" w:after="120"/>
      </w:pPr>
      <w:r>
        <w:rPr>
          <w:rFonts w:ascii="Arial" w:cs="Arial" w:eastAsia="Arial" w:hAnsi="Arial"/>
          <w:b/>
          <w:bCs/>
          <w:color w:val="111827"/>
          <w:sz w:val="26"/>
          <w:szCs w:val="26"/>
        </w:rPr>
        <w:t xml:space="preserve">8.5 Gap Analysis — Pet Insurance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BFDBFE" w:sz="1"/>
              <w:left w:val="single" w:color="BFDBFE" w:sz="1"/>
              <w:bottom w:val="single" w:color="BFDBFE" w:sz="1"/>
              <w:right w:val="single" w:color="BFDBFE" w:sz="1"/>
            </w:tcBorders>
            <w:shd w:fill="1A56DB" w:val="clear"/>
            <w:tcMar>
              <w:top w:type="dxa" w:w="120"/>
              <w:left w:type="dxa" w:w="180"/>
              <w:bottom w:type="dxa" w:w="120"/>
              <w:right w:type="dxa" w:w="180"/>
            </w:tcMar>
          </w:tcPr>
          <w:p>
            <w:r>
              <w:rPr>
                <w:rFonts w:ascii="Arial" w:cs="Arial" w:eastAsia="Arial" w:hAnsi="Arial"/>
                <w:b/>
                <w:bCs/>
                <w:color w:val="FFFFFF"/>
                <w:sz w:val="24"/>
                <w:szCs w:val="24"/>
              </w:rPr>
              <w:t xml:space="preserve">Pet Insurance</w:t>
            </w:r>
            <w:r>
              <w:rPr>
                <w:rFonts w:ascii="Arial" w:cs="Arial" w:eastAsia="Arial" w:hAnsi="Arial"/>
                <w:color w:val="BFDBFE"/>
                <w:sz w:val="21"/>
                <w:szCs w:val="21"/>
              </w:rPr>
              <w:t xml:space="preserve">    Revenue opportunity: €80–150/year opportunity</w:t>
            </w:r>
          </w:p>
        </w:tc>
      </w:tr>
      <w:tr>
        <w:tc>
          <w:tcPr>
            <w:tcW w:type="dxa" w:w="9360"/>
            <w:tcBorders>
              <w:top w:val="single" w:color="BFDBFE" w:sz="1"/>
              <w:left w:val="single" w:color="BFDBFE" w:sz="1"/>
              <w:bottom w:val="single" w:color="BFDBFE" w:sz="1"/>
              <w:right w:val="single" w:color="BFDBFE" w:sz="1"/>
            </w:tcBorders>
            <w:shd w:fill="FFFFFF" w:val="clear"/>
            <w:tcMar>
              <w:top w:type="dxa" w:w="120"/>
              <w:left w:type="dxa" w:w="180"/>
              <w:bottom w:type="dxa" w:w="120"/>
              <w:right w:type="dxa" w:w="180"/>
            </w:tcMar>
          </w:tcPr>
          <w:p>
            <w:pPr>
              <w:pStyle w:val="ListParagraph"/>
              <w:numPr>
                <w:ilvl w:val="0"/>
                <w:numId w:val="2"/>
              </w:numPr>
              <w:spacing w:before="40" w:after="50"/>
            </w:pPr>
            <w:r>
              <w:rPr>
                <w:rFonts w:ascii="Arial" w:cs="Arial" w:eastAsia="Arial" w:hAnsi="Arial"/>
                <w:color w:val="4B5563"/>
                <w:sz w:val="21"/>
                <w:szCs w:val="21"/>
              </w:rPr>
              <w:t xml:space="preserve">Breed-Specific Hereditary Condition Radar: Visual radar chart mapping the pet's breed against common hereditary conditions. Overlay which conditions are and are not covered by the current policy.</w:t>
            </w:r>
          </w:p>
          <w:p>
            <w:pPr>
              <w:pStyle w:val="ListParagraph"/>
              <w:numPr>
                <w:ilvl w:val="0"/>
                <w:numId w:val="2"/>
              </w:numPr>
              <w:spacing w:before="40" w:after="50"/>
            </w:pPr>
            <w:r>
              <w:rPr>
                <w:rFonts w:ascii="Arial" w:cs="Arial" w:eastAsia="Arial" w:hAnsi="Arial"/>
                <w:color w:val="4B5563"/>
                <w:sz w:val="21"/>
                <w:szCs w:val="21"/>
              </w:rPr>
              <w:t xml:space="preserve">Waiting Period Status Tracking: Per-condition progress tracker. For each major condition, show: 'Covered from [date]' or 'Waiting period ends in X days.'</w:t>
            </w:r>
          </w:p>
          <w:p>
            <w:pPr>
              <w:pStyle w:val="ListParagraph"/>
              <w:numPr>
                <w:ilvl w:val="0"/>
                <w:numId w:val="2"/>
              </w:numPr>
              <w:spacing w:before="40" w:after="50"/>
            </w:pPr>
            <w:r>
              <w:rPr>
                <w:rFonts w:ascii="Arial" w:cs="Arial" w:eastAsia="Arial" w:hAnsi="Arial"/>
                <w:color w:val="4B5563"/>
                <w:sz w:val="21"/>
                <w:szCs w:val="21"/>
              </w:rPr>
              <w:t xml:space="preserve">Greek Disease Coverage (Leishmania / Κάλαζαρ): Specific gap check — is Leishmania covered? Given Greece's prevalence, flag this as a high-priority gap if not covered.</w:t>
            </w:r>
          </w:p>
          <w:p>
            <w:pPr>
              <w:pStyle w:val="ListParagraph"/>
              <w:numPr>
                <w:ilvl w:val="0"/>
                <w:numId w:val="2"/>
              </w:numPr>
              <w:spacing w:before="40" w:after="50"/>
            </w:pPr>
            <w:r>
              <w:rPr>
                <w:rFonts w:ascii="Arial" w:cs="Arial" w:eastAsia="Arial" w:hAnsi="Arial"/>
                <w:color w:val="4B5563"/>
                <w:sz w:val="21"/>
                <w:szCs w:val="21"/>
              </w:rPr>
              <w:t xml:space="preserve">Annual Limit Adequacy: Compare the annual limit against average annual vet costs for the breed. Flag if the limit is likely to be insufficient based on breed health data.</w:t>
            </w:r>
          </w:p>
        </w:tc>
      </w:tr>
    </w:tbl>
    <w:p>
      <w:pPr>
        <w:spacing w:before="160"/>
      </w:pPr>
    </w:p>
    <w:p>
      <w:pPr>
        <w:pStyle w:val="Heading2"/>
        <w:spacing w:before="320" w:after="120"/>
      </w:pPr>
      <w:r>
        <w:rPr>
          <w:rFonts w:ascii="Arial" w:cs="Arial" w:eastAsia="Arial" w:hAnsi="Arial"/>
          <w:b/>
          <w:bCs/>
          <w:color w:val="111827"/>
          <w:sz w:val="26"/>
          <w:szCs w:val="26"/>
        </w:rPr>
        <w:t xml:space="preserve">8.6 Gap Analysis — Doctor Civil Liability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BFDBFE" w:sz="1"/>
              <w:left w:val="single" w:color="BFDBFE" w:sz="1"/>
              <w:bottom w:val="single" w:color="BFDBFE" w:sz="1"/>
              <w:right w:val="single" w:color="BFDBFE" w:sz="1"/>
            </w:tcBorders>
            <w:shd w:fill="1A56DB" w:val="clear"/>
            <w:tcMar>
              <w:top w:type="dxa" w:w="120"/>
              <w:left w:type="dxa" w:w="180"/>
              <w:bottom w:type="dxa" w:w="120"/>
              <w:right w:type="dxa" w:w="180"/>
            </w:tcMar>
          </w:tcPr>
          <w:p>
            <w:r>
              <w:rPr>
                <w:rFonts w:ascii="Arial" w:cs="Arial" w:eastAsia="Arial" w:hAnsi="Arial"/>
                <w:b/>
                <w:bCs/>
                <w:color w:val="FFFFFF"/>
                <w:sz w:val="24"/>
                <w:szCs w:val="24"/>
              </w:rPr>
              <w:t xml:space="preserve">Doctor Civil Liability</w:t>
            </w:r>
            <w:r>
              <w:rPr>
                <w:rFonts w:ascii="Arial" w:cs="Arial" w:eastAsia="Arial" w:hAnsi="Arial"/>
                <w:color w:val="BFDBFE"/>
                <w:sz w:val="21"/>
                <w:szCs w:val="21"/>
              </w:rPr>
              <w:t xml:space="preserve">    Revenue opportunity: €500–1,500/year opportunity</w:t>
            </w:r>
          </w:p>
        </w:tc>
      </w:tr>
      <w:tr>
        <w:tc>
          <w:tcPr>
            <w:tcW w:type="dxa" w:w="9360"/>
            <w:tcBorders>
              <w:top w:val="single" w:color="BFDBFE" w:sz="1"/>
              <w:left w:val="single" w:color="BFDBFE" w:sz="1"/>
              <w:bottom w:val="single" w:color="BFDBFE" w:sz="1"/>
              <w:right w:val="single" w:color="BFDBFE" w:sz="1"/>
            </w:tcBorders>
            <w:shd w:fill="FFFFFF" w:val="clear"/>
            <w:tcMar>
              <w:top w:type="dxa" w:w="120"/>
              <w:left w:type="dxa" w:w="180"/>
              <w:bottom w:type="dxa" w:w="120"/>
              <w:right w:type="dxa" w:w="180"/>
            </w:tcMar>
          </w:tcPr>
          <w:p>
            <w:pPr>
              <w:pStyle w:val="ListParagraph"/>
              <w:numPr>
                <w:ilvl w:val="0"/>
                <w:numId w:val="2"/>
              </w:numPr>
              <w:spacing w:before="40" w:after="50"/>
            </w:pPr>
            <w:r>
              <w:rPr>
                <w:rFonts w:ascii="Arial" w:cs="Arial" w:eastAsia="Arial" w:hAnsi="Arial"/>
                <w:color w:val="4B5563"/>
                <w:sz w:val="21"/>
                <w:szCs w:val="21"/>
              </w:rPr>
              <w:t xml:space="preserve">Career Protection Timeline: Visual timeline showing the doctor's career span with unprotected years highlighted. Emphasis on retroactive coverage gaps — years practised without liability cover create permanent exposure.</w:t>
            </w:r>
          </w:p>
          <w:p>
            <w:pPr>
              <w:pStyle w:val="ListParagraph"/>
              <w:numPr>
                <w:ilvl w:val="0"/>
                <w:numId w:val="2"/>
              </w:numPr>
              <w:spacing w:before="40" w:after="50"/>
            </w:pPr>
            <w:r>
              <w:rPr>
                <w:rFonts w:ascii="Arial" w:cs="Arial" w:eastAsia="Arial" w:hAnsi="Arial"/>
                <w:color w:val="4B5563"/>
                <w:sz w:val="21"/>
                <w:szCs w:val="21"/>
              </w:rPr>
              <w:t xml:space="preserve">Retroactive Coverage Gap Detection: Identify periods of practice not covered by current retroactive cover. Display the number of unprotected years and the risk this represents.</w:t>
            </w:r>
          </w:p>
          <w:p>
            <w:pPr>
              <w:pStyle w:val="ListParagraph"/>
              <w:numPr>
                <w:ilvl w:val="0"/>
                <w:numId w:val="2"/>
              </w:numPr>
              <w:spacing w:before="40" w:after="50"/>
            </w:pPr>
            <w:r>
              <w:rPr>
                <w:rFonts w:ascii="Arial" w:cs="Arial" w:eastAsia="Arial" w:hAnsi="Arial"/>
                <w:color w:val="4B5563"/>
                <w:sz w:val="21"/>
                <w:szCs w:val="21"/>
              </w:rPr>
              <w:t xml:space="preserve">Specialty-Specific Settlement Benchmarks: Show average malpractice settlement amounts for the doctor's specialty in Greece. Makes the financial exposure concrete and personal.</w:t>
            </w:r>
          </w:p>
          <w:p>
            <w:pPr>
              <w:pStyle w:val="ListParagraph"/>
              <w:numPr>
                <w:ilvl w:val="0"/>
                <w:numId w:val="2"/>
              </w:numPr>
              <w:spacing w:before="40" w:after="50"/>
            </w:pPr>
            <w:r>
              <w:rPr>
                <w:rFonts w:ascii="Arial" w:cs="Arial" w:eastAsia="Arial" w:hAnsi="Arial"/>
                <w:color w:val="4B5563"/>
                <w:sz w:val="21"/>
                <w:szCs w:val="21"/>
              </w:rPr>
              <w:t xml:space="preserve">Coverage Limit Adequacy: Compare current coverage limit against specialty benchmarks. Flag if underinsured relative to specialty risk.</w:t>
            </w:r>
          </w:p>
        </w:tc>
      </w:tr>
    </w:tbl>
    <w:p>
      <w:pPr>
        <w:spacing w:before="160"/>
      </w:pPr>
    </w:p>
    <w:p>
      <w:pPr>
        <w:pStyle w:val="Heading2"/>
        <w:spacing w:before="320" w:after="120"/>
      </w:pPr>
      <w:r>
        <w:rPr>
          <w:rFonts w:ascii="Arial" w:cs="Arial" w:eastAsia="Arial" w:hAnsi="Arial"/>
          <w:b/>
          <w:bCs/>
          <w:color w:val="111827"/>
          <w:sz w:val="26"/>
          <w:szCs w:val="26"/>
        </w:rPr>
        <w:t xml:space="preserve">8.7 Gap Analysis — Marine (Yacht)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BFDBFE" w:sz="1"/>
              <w:left w:val="single" w:color="BFDBFE" w:sz="1"/>
              <w:bottom w:val="single" w:color="BFDBFE" w:sz="1"/>
              <w:right w:val="single" w:color="BFDBFE" w:sz="1"/>
            </w:tcBorders>
            <w:shd w:fill="1A56DB" w:val="clear"/>
            <w:tcMar>
              <w:top w:type="dxa" w:w="120"/>
              <w:left w:type="dxa" w:w="180"/>
              <w:bottom w:type="dxa" w:w="120"/>
              <w:right w:type="dxa" w:w="180"/>
            </w:tcMar>
          </w:tcPr>
          <w:p>
            <w:r>
              <w:rPr>
                <w:rFonts w:ascii="Arial" w:cs="Arial" w:eastAsia="Arial" w:hAnsi="Arial"/>
                <w:b/>
                <w:bCs/>
                <w:color w:val="FFFFFF"/>
                <w:sz w:val="24"/>
                <w:szCs w:val="24"/>
              </w:rPr>
              <w:t xml:space="preserve">Marine / Yacht Insurance</w:t>
            </w:r>
            <w:r>
              <w:rPr>
                <w:rFonts w:ascii="Arial" w:cs="Arial" w:eastAsia="Arial" w:hAnsi="Arial"/>
                <w:color w:val="BFDBFE"/>
                <w:sz w:val="21"/>
                <w:szCs w:val="21"/>
              </w:rPr>
              <w:t xml:space="preserve">    Revenue opportunity: €300–500/year opportunity</w:t>
            </w:r>
          </w:p>
        </w:tc>
      </w:tr>
      <w:tr>
        <w:tc>
          <w:tcPr>
            <w:tcW w:type="dxa" w:w="9360"/>
            <w:tcBorders>
              <w:top w:val="single" w:color="BFDBFE" w:sz="1"/>
              <w:left w:val="single" w:color="BFDBFE" w:sz="1"/>
              <w:bottom w:val="single" w:color="BFDBFE" w:sz="1"/>
              <w:right w:val="single" w:color="BFDBFE" w:sz="1"/>
            </w:tcBorders>
            <w:shd w:fill="FFFFFF" w:val="clear"/>
            <w:tcMar>
              <w:top w:type="dxa" w:w="120"/>
              <w:left w:type="dxa" w:w="180"/>
              <w:bottom w:type="dxa" w:w="120"/>
              <w:right w:type="dxa" w:w="180"/>
            </w:tcMar>
          </w:tcPr>
          <w:p>
            <w:pPr>
              <w:pStyle w:val="ListParagraph"/>
              <w:numPr>
                <w:ilvl w:val="0"/>
                <w:numId w:val="2"/>
              </w:numPr>
              <w:spacing w:before="40" w:after="50"/>
            </w:pPr>
            <w:r>
              <w:rPr>
                <w:rFonts w:ascii="Arial" w:cs="Arial" w:eastAsia="Arial" w:hAnsi="Arial"/>
                <w:color w:val="4B5563"/>
                <w:sz w:val="21"/>
                <w:szCs w:val="21"/>
              </w:rPr>
              <w:t xml:space="preserve">Cruising Area Warranty Verification: Check the policy's declared cruising area against the owner's actual or intended routes. Flag any mismatch — sailing outside the warranted area voids coverage.</w:t>
            </w:r>
          </w:p>
          <w:p>
            <w:pPr>
              <w:pStyle w:val="ListParagraph"/>
              <w:numPr>
                <w:ilvl w:val="0"/>
                <w:numId w:val="2"/>
              </w:numPr>
              <w:spacing w:before="40" w:after="50"/>
            </w:pPr>
            <w:r>
              <w:rPr>
                <w:rFonts w:ascii="Arial" w:cs="Arial" w:eastAsia="Arial" w:hAnsi="Arial"/>
                <w:color w:val="4B5563"/>
                <w:sz w:val="21"/>
                <w:szCs w:val="21"/>
              </w:rPr>
              <w:t xml:space="preserve">Tender (Dinghy) Coverage Detection: Check whether the tender/dinghy is separately listed and covered. This is commonly omitted and represents a meaningful gap.</w:t>
            </w:r>
          </w:p>
          <w:p>
            <w:pPr>
              <w:pStyle w:val="ListParagraph"/>
              <w:numPr>
                <w:ilvl w:val="0"/>
                <w:numId w:val="2"/>
              </w:numPr>
              <w:spacing w:before="40" w:after="50"/>
            </w:pPr>
            <w:r>
              <w:rPr>
                <w:rFonts w:ascii="Arial" w:cs="Arial" w:eastAsia="Arial" w:hAnsi="Arial"/>
                <w:color w:val="4B5563"/>
                <w:sz w:val="21"/>
                <w:szCs w:val="21"/>
              </w:rPr>
              <w:t xml:space="preserve">Area Mismatch Savings Identification: If the declared cruising area is larger than the user's actual sailing patterns, flag the potential premium saving from reducing the area warranty.</w:t>
            </w:r>
          </w:p>
          <w:p>
            <w:pPr>
              <w:pStyle w:val="ListParagraph"/>
              <w:numPr>
                <w:ilvl w:val="0"/>
                <w:numId w:val="2"/>
              </w:numPr>
              <w:spacing w:before="40" w:after="50"/>
            </w:pPr>
            <w:r>
              <w:rPr>
                <w:rFonts w:ascii="Arial" w:cs="Arial" w:eastAsia="Arial" w:hAnsi="Arial"/>
                <w:color w:val="4B5563"/>
                <w:sz w:val="21"/>
                <w:szCs w:val="21"/>
              </w:rPr>
              <w:t xml:space="preserve">Mooring Coverage Check: Verify coverage while the vessel is moored or laid up, not just while sailing.</w:t>
            </w:r>
          </w:p>
        </w:tc>
      </w:tr>
    </w:tbl>
    <w:p>
      <w:pPr>
        <w:pBdr>
          <w:bottom w:val="single" w:color="BFDBFE" w:sz="4" w:space="1"/>
        </w:pBdr>
        <w:spacing w:before="240" w:after="240"/>
      </w:pPr>
    </w:p>
    <w:p>
      <w:r>
        <w:br w:type="page"/>
      </w:r>
    </w:p>
    <w:p>
      <w:pPr>
        <w:pStyle w:val="Heading1"/>
        <w:spacing w:before="480" w:after="160"/>
      </w:pPr>
      <w:r>
        <w:rPr>
          <w:rFonts w:ascii="Arial" w:cs="Arial" w:eastAsia="Arial" w:hAnsi="Arial"/>
          <w:b/>
          <w:bCs/>
          <w:color w:val="1A56DB"/>
          <w:sz w:val="36"/>
          <w:szCs w:val="36"/>
        </w:rPr>
        <w:t xml:space="preserve">9. Health &amp; Wellness Module</w:t>
      </w:r>
    </w:p>
    <w:p>
      <w:pPr>
        <w:spacing w:before="60" w:after="80"/>
      </w:pPr>
      <w:r>
        <w:rPr>
          <w:rFonts w:ascii="Arial" w:cs="Arial" w:eastAsia="Arial" w:hAnsi="Arial"/>
          <w:color w:val="4B5563"/>
          <w:sz w:val="22"/>
          <w:szCs w:val="22"/>
        </w:rPr>
        <w:t xml:space="preserve">The Health &amp; Wellness module extends PolicyWallet beyond reactive policy management into proactive health engagement. It is tied to the user's health insurance policy and surfaces personalised preventive care actions. This module supports the core subscription value argument: the app actively helps users use benefits they are already paying for.</w:t>
      </w:r>
    </w:p>
    <w:p>
      <w:pPr>
        <w:spacing w:before="120"/>
      </w:pPr>
    </w:p>
    <w:p>
      <w:pPr>
        <w:pStyle w:val="Heading2"/>
        <w:spacing w:before="320" w:after="120"/>
      </w:pPr>
      <w:r>
        <w:rPr>
          <w:rFonts w:ascii="Arial" w:cs="Arial" w:eastAsia="Arial" w:hAnsi="Arial"/>
          <w:b/>
          <w:bCs/>
          <w:color w:val="111827"/>
          <w:sz w:val="26"/>
          <w:szCs w:val="26"/>
        </w:rPr>
        <w:t xml:space="preserve">9.1 Annual Health Check-up Tracker</w:t>
      </w:r>
    </w:p>
    <w:p>
      <w:pPr>
        <w:pStyle w:val="ListParagraph"/>
        <w:numPr>
          <w:ilvl w:val="0"/>
          <w:numId w:val="2"/>
        </w:numPr>
        <w:spacing w:before="40" w:after="60"/>
      </w:pPr>
      <w:r>
        <w:rPr>
          <w:rFonts w:ascii="Arial" w:cs="Arial" w:eastAsia="Arial" w:hAnsi="Arial"/>
          <w:b w:val="false"/>
          <w:bCs w:val="false"/>
          <w:color w:val="4B5563"/>
          <w:sz w:val="22"/>
          <w:szCs w:val="22"/>
        </w:rPr>
        <w:t xml:space="preserve">Per health policy, display the annual check-up benefit status: Available / Scheduled / Completed.</w:t>
      </w:r>
    </w:p>
    <w:p>
      <w:pPr>
        <w:pStyle w:val="ListParagraph"/>
        <w:numPr>
          <w:ilvl w:val="0"/>
          <w:numId w:val="2"/>
        </w:numPr>
        <w:spacing w:before="40" w:after="60"/>
      </w:pPr>
      <w:r>
        <w:rPr>
          <w:rFonts w:ascii="Arial" w:cs="Arial" w:eastAsia="Arial" w:hAnsi="Arial"/>
          <w:b w:val="false"/>
          <w:bCs w:val="false"/>
          <w:color w:val="4B5563"/>
          <w:sz w:val="22"/>
          <w:szCs w:val="22"/>
        </w:rPr>
        <w:t xml:space="preserve">If available and not yet used: prominent nudge card on the dashboard and within the health policy detail view.</w:t>
      </w:r>
    </w:p>
    <w:p>
      <w:pPr>
        <w:pStyle w:val="ListParagraph"/>
        <w:numPr>
          <w:ilvl w:val="0"/>
          <w:numId w:val="2"/>
        </w:numPr>
        <w:spacing w:before="40" w:after="60"/>
      </w:pPr>
      <w:r>
        <w:rPr>
          <w:rFonts w:ascii="Arial" w:cs="Arial" w:eastAsia="Arial" w:hAnsi="Arial"/>
          <w:b w:val="false"/>
          <w:bCs w:val="false"/>
          <w:color w:val="4B5563"/>
          <w:sz w:val="22"/>
          <w:szCs w:val="22"/>
        </w:rPr>
        <w:t xml:space="preserve">CTA: 'Book Check-up' — initiates contact with the coordination centre or links to a booking flow.</w:t>
      </w:r>
    </w:p>
    <w:p>
      <w:pPr>
        <w:pStyle w:val="ListParagraph"/>
        <w:numPr>
          <w:ilvl w:val="0"/>
          <w:numId w:val="2"/>
        </w:numPr>
        <w:spacing w:before="40" w:after="60"/>
      </w:pPr>
      <w:r>
        <w:rPr>
          <w:rFonts w:ascii="Arial" w:cs="Arial" w:eastAsia="Arial" w:hAnsi="Arial"/>
          <w:b w:val="false"/>
          <w:bCs w:val="false"/>
          <w:color w:val="4B5563"/>
          <w:sz w:val="22"/>
          <w:szCs w:val="22"/>
        </w:rPr>
        <w:t xml:space="preserve">History log: past check-ups with dates and outcomes (user-entered or synced from coordination centre if available).</w:t>
      </w:r>
    </w:p>
    <w:p>
      <w:pPr>
        <w:spacing w:before="120"/>
      </w:pPr>
    </w:p>
    <w:p>
      <w:pPr>
        <w:pStyle w:val="Heading2"/>
        <w:spacing w:before="320" w:after="120"/>
      </w:pPr>
      <w:r>
        <w:rPr>
          <w:rFonts w:ascii="Arial" w:cs="Arial" w:eastAsia="Arial" w:hAnsi="Arial"/>
          <w:b/>
          <w:bCs/>
          <w:color w:val="111827"/>
          <w:sz w:val="26"/>
          <w:szCs w:val="26"/>
        </w:rPr>
        <w:t xml:space="preserve">9.2 Health Risk Assessment</w:t>
      </w:r>
    </w:p>
    <w:p>
      <w:pPr>
        <w:pStyle w:val="ListParagraph"/>
        <w:numPr>
          <w:ilvl w:val="0"/>
          <w:numId w:val="2"/>
        </w:numPr>
        <w:spacing w:before="40" w:after="60"/>
      </w:pPr>
      <w:r>
        <w:rPr>
          <w:rFonts w:ascii="Arial" w:cs="Arial" w:eastAsia="Arial" w:hAnsi="Arial"/>
          <w:b w:val="false"/>
          <w:bCs w:val="false"/>
          <w:color w:val="4B5563"/>
          <w:sz w:val="22"/>
          <w:szCs w:val="22"/>
        </w:rPr>
        <w:t xml:space="preserve">Optional self-assessment flow. User answers a brief questionnaire (age, lifestyle factors, family history).</w:t>
      </w:r>
    </w:p>
    <w:p>
      <w:pPr>
        <w:pStyle w:val="ListParagraph"/>
        <w:numPr>
          <w:ilvl w:val="0"/>
          <w:numId w:val="2"/>
        </w:numPr>
        <w:spacing w:before="40" w:after="60"/>
      </w:pPr>
      <w:r>
        <w:rPr>
          <w:rFonts w:ascii="Arial" w:cs="Arial" w:eastAsia="Arial" w:hAnsi="Arial"/>
          <w:b w:val="false"/>
          <w:bCs w:val="false"/>
          <w:color w:val="4B5563"/>
          <w:sz w:val="22"/>
          <w:szCs w:val="22"/>
        </w:rPr>
        <w:t xml:space="preserve">Output: a risk score from 0–100 per health category (cardiovascular, metabolic, musculoskeletal, etc.).</w:t>
      </w:r>
    </w:p>
    <w:p>
      <w:pPr>
        <w:pStyle w:val="ListParagraph"/>
        <w:numPr>
          <w:ilvl w:val="0"/>
          <w:numId w:val="2"/>
        </w:numPr>
        <w:spacing w:before="40" w:after="60"/>
      </w:pPr>
      <w:r>
        <w:rPr>
          <w:rFonts w:ascii="Arial" w:cs="Arial" w:eastAsia="Arial" w:hAnsi="Arial"/>
          <w:b w:val="false"/>
          <w:bCs w:val="false"/>
          <w:color w:val="4B5563"/>
          <w:sz w:val="22"/>
          <w:szCs w:val="22"/>
        </w:rPr>
        <w:t xml:space="preserve">Score display: visual gauge/speedometer per category. Plain-language interpretation of the score.</w:t>
      </w:r>
    </w:p>
    <w:p>
      <w:pPr>
        <w:pStyle w:val="ListParagraph"/>
        <w:numPr>
          <w:ilvl w:val="0"/>
          <w:numId w:val="2"/>
        </w:numPr>
        <w:spacing w:before="40" w:after="60"/>
      </w:pPr>
      <w:r>
        <w:rPr>
          <w:rFonts w:ascii="Arial" w:cs="Arial" w:eastAsia="Arial" w:hAnsi="Arial"/>
          <w:b w:val="false"/>
          <w:bCs w:val="false"/>
          <w:color w:val="4B5563"/>
          <w:sz w:val="22"/>
          <w:szCs w:val="22"/>
        </w:rPr>
        <w:t xml:space="preserve">Personalised recommendations tied to the score: e.g., 'Your cardiovascular risk score suggests a lipid panel is advisable. Your policy covers this — book it now.'</w:t>
      </w:r>
    </w:p>
    <w:p>
      <w:pPr>
        <w:pStyle w:val="ListParagraph"/>
        <w:numPr>
          <w:ilvl w:val="0"/>
          <w:numId w:val="2"/>
        </w:numPr>
        <w:spacing w:before="40" w:after="60"/>
      </w:pPr>
      <w:r>
        <w:rPr>
          <w:rFonts w:ascii="Arial" w:cs="Arial" w:eastAsia="Arial" w:hAnsi="Arial"/>
          <w:b w:val="false"/>
          <w:bCs w:val="false"/>
          <w:color w:val="4B5563"/>
          <w:sz w:val="22"/>
          <w:szCs w:val="22"/>
        </w:rPr>
        <w:t xml:space="preserve">Reassessment prompt: every 6–12 months, prompt the user to retake the assessment.</w:t>
      </w:r>
    </w:p>
    <w:p>
      <w:pPr>
        <w:spacing w:before="120"/>
      </w:pPr>
    </w:p>
    <w:p>
      <w:pPr>
        <w:pStyle w:val="Heading2"/>
        <w:spacing w:before="320" w:after="120"/>
      </w:pPr>
      <w:r>
        <w:rPr>
          <w:rFonts w:ascii="Arial" w:cs="Arial" w:eastAsia="Arial" w:hAnsi="Arial"/>
          <w:b/>
          <w:bCs/>
          <w:color w:val="111827"/>
          <w:sz w:val="26"/>
          <w:szCs w:val="26"/>
        </w:rPr>
        <w:t xml:space="preserve">9.3 Preventive Care Recommendations</w:t>
      </w:r>
    </w:p>
    <w:p>
      <w:pPr>
        <w:pStyle w:val="ListParagraph"/>
        <w:numPr>
          <w:ilvl w:val="0"/>
          <w:numId w:val="2"/>
        </w:numPr>
        <w:spacing w:before="40" w:after="60"/>
      </w:pPr>
      <w:r>
        <w:rPr>
          <w:rFonts w:ascii="Arial" w:cs="Arial" w:eastAsia="Arial" w:hAnsi="Arial"/>
          <w:b w:val="false"/>
          <w:bCs w:val="false"/>
          <w:color w:val="4B5563"/>
          <w:sz w:val="22"/>
          <w:szCs w:val="22"/>
        </w:rPr>
        <w:t xml:space="preserve">A personalised care calendar based on the user's age, gender, risk scores, and policy coverage.</w:t>
      </w:r>
    </w:p>
    <w:p>
      <w:pPr>
        <w:pStyle w:val="ListParagraph"/>
        <w:numPr>
          <w:ilvl w:val="0"/>
          <w:numId w:val="2"/>
        </w:numPr>
        <w:spacing w:before="40" w:after="60"/>
      </w:pPr>
      <w:r>
        <w:rPr>
          <w:rFonts w:ascii="Arial" w:cs="Arial" w:eastAsia="Arial" w:hAnsi="Arial"/>
          <w:b w:val="false"/>
          <w:bCs w:val="false"/>
          <w:color w:val="4B5563"/>
          <w:sz w:val="22"/>
          <w:szCs w:val="22"/>
        </w:rPr>
        <w:t xml:space="preserve">Each recommendation card shows: the test/screening name, why it is recommended, whether it is covered by the user's policy, and a CTA to book or learn more.</w:t>
      </w:r>
    </w:p>
    <w:p>
      <w:pPr>
        <w:pStyle w:val="ListParagraph"/>
        <w:numPr>
          <w:ilvl w:val="0"/>
          <w:numId w:val="2"/>
        </w:numPr>
        <w:spacing w:before="40" w:after="60"/>
      </w:pPr>
      <w:r>
        <w:rPr>
          <w:rFonts w:ascii="Arial" w:cs="Arial" w:eastAsia="Arial" w:hAnsi="Arial"/>
          <w:b w:val="false"/>
          <w:bCs w:val="false"/>
          <w:color w:val="4B5563"/>
          <w:sz w:val="22"/>
          <w:szCs w:val="22"/>
        </w:rPr>
        <w:t xml:space="preserve">Examples: annual dental cleaning (if covered), mammogram (age/gender appropriate), colonoscopy (age-based recommendation), blood pressure check.</w:t>
      </w:r>
    </w:p>
    <w:p>
      <w:pPr>
        <w:pStyle w:val="ListParagraph"/>
        <w:numPr>
          <w:ilvl w:val="0"/>
          <w:numId w:val="2"/>
        </w:numPr>
        <w:spacing w:before="40" w:after="60"/>
      </w:pPr>
      <w:r>
        <w:rPr>
          <w:rFonts w:ascii="Arial" w:cs="Arial" w:eastAsia="Arial" w:hAnsi="Arial"/>
          <w:b w:val="false"/>
          <w:bCs w:val="false"/>
          <w:color w:val="4B5563"/>
          <w:sz w:val="22"/>
          <w:szCs w:val="22"/>
        </w:rPr>
        <w:t xml:space="preserve">Completed items can be marked as done and archived.</w:t>
      </w:r>
    </w:p>
    <w:p>
      <w:pPr>
        <w:pStyle w:val="ListParagraph"/>
        <w:numPr>
          <w:ilvl w:val="0"/>
          <w:numId w:val="2"/>
        </w:numPr>
        <w:spacing w:before="40" w:after="60"/>
      </w:pPr>
      <w:r>
        <w:rPr>
          <w:rFonts w:ascii="Arial" w:cs="Arial" w:eastAsia="Arial" w:hAnsi="Arial"/>
          <w:b w:val="false"/>
          <w:bCs w:val="false"/>
          <w:color w:val="4B5563"/>
          <w:sz w:val="22"/>
          <w:szCs w:val="22"/>
        </w:rPr>
        <w:t xml:space="preserve">The module visually connects benefit utilisation to the subscription value proposition: 'Using these benefits = getting your subscription cost back.'</w:t>
      </w:r>
    </w:p>
    <w:p>
      <w:pPr>
        <w:pBdr>
          <w:bottom w:val="single" w:color="BFDBFE" w:sz="4" w:space="1"/>
        </w:pBdr>
        <w:spacing w:before="240" w:after="240"/>
      </w:pPr>
    </w:p>
    <w:p>
      <w:pPr>
        <w:pStyle w:val="Heading1"/>
        <w:spacing w:before="480" w:after="160"/>
      </w:pPr>
      <w:r>
        <w:rPr>
          <w:rFonts w:ascii="Arial" w:cs="Arial" w:eastAsia="Arial" w:hAnsi="Arial"/>
          <w:b/>
          <w:bCs/>
          <w:color w:val="1A56DB"/>
          <w:sz w:val="36"/>
          <w:szCs w:val="36"/>
        </w:rPr>
        <w:t xml:space="preserve">10. My Wallet — Policy Portfolio</w:t>
      </w:r>
    </w:p>
    <w:p>
      <w:pPr>
        <w:spacing w:before="60" w:after="80"/>
      </w:pPr>
      <w:r>
        <w:rPr>
          <w:rFonts w:ascii="Arial" w:cs="Arial" w:eastAsia="Arial" w:hAnsi="Arial"/>
          <w:color w:val="4B5563"/>
          <w:sz w:val="22"/>
          <w:szCs w:val="22"/>
        </w:rPr>
        <w:t xml:space="preserve">My Wallet is the user's primary repository. It contains all uploaded policies, organised by category. This is the screen users visit to find a specific coverage detail or look up a phone number.</w:t>
      </w:r>
    </w:p>
    <w:p>
      <w:pPr>
        <w:spacing w:before="120"/>
      </w:pPr>
    </w:p>
    <w:p>
      <w:pPr>
        <w:pStyle w:val="Heading2"/>
        <w:spacing w:before="320" w:after="120"/>
      </w:pPr>
      <w:r>
        <w:rPr>
          <w:rFonts w:ascii="Arial" w:cs="Arial" w:eastAsia="Arial" w:hAnsi="Arial"/>
          <w:b/>
          <w:bCs/>
          <w:color w:val="111827"/>
          <w:sz w:val="26"/>
          <w:szCs w:val="26"/>
        </w:rPr>
        <w:t xml:space="preserve">10.1 Portfolio List View</w:t>
      </w:r>
    </w:p>
    <w:p>
      <w:pPr>
        <w:pStyle w:val="ListParagraph"/>
        <w:numPr>
          <w:ilvl w:val="0"/>
          <w:numId w:val="2"/>
        </w:numPr>
        <w:spacing w:before="40" w:after="60"/>
      </w:pPr>
      <w:r>
        <w:rPr>
          <w:rFonts w:ascii="Arial" w:cs="Arial" w:eastAsia="Arial" w:hAnsi="Arial"/>
          <w:b w:val="false"/>
          <w:bCs w:val="false"/>
          <w:color w:val="4B5563"/>
          <w:sz w:val="22"/>
          <w:szCs w:val="22"/>
        </w:rPr>
        <w:t xml:space="preserve">Policies grouped by category with distinct icon per type: Motor, Health, Home, Life/Investment, Pet, Doctor Liability, Marine, Other.</w:t>
      </w:r>
    </w:p>
    <w:p>
      <w:pPr>
        <w:pStyle w:val="ListParagraph"/>
        <w:numPr>
          <w:ilvl w:val="0"/>
          <w:numId w:val="2"/>
        </w:numPr>
        <w:spacing w:before="40" w:after="60"/>
      </w:pPr>
      <w:r>
        <w:rPr>
          <w:rFonts w:ascii="Arial" w:cs="Arial" w:eastAsia="Arial" w:hAnsi="Arial"/>
          <w:b w:val="false"/>
          <w:bCs w:val="false"/>
          <w:color w:val="4B5563"/>
          <w:sz w:val="22"/>
          <w:szCs w:val="22"/>
        </w:rPr>
        <w:t xml:space="preserve">Each policy card shows: insurer logo/name, policy nickname (editable), policy number, expiry date, and a status dot (active / expiring soon / expired).</w:t>
      </w:r>
    </w:p>
    <w:p>
      <w:pPr>
        <w:pStyle w:val="ListParagraph"/>
        <w:numPr>
          <w:ilvl w:val="0"/>
          <w:numId w:val="2"/>
        </w:numPr>
        <w:spacing w:before="40" w:after="60"/>
      </w:pPr>
      <w:r>
        <w:rPr>
          <w:rFonts w:ascii="Arial" w:cs="Arial" w:eastAsia="Arial" w:hAnsi="Arial"/>
          <w:b w:val="false"/>
          <w:bCs w:val="false"/>
          <w:color w:val="4B5563"/>
          <w:sz w:val="22"/>
          <w:szCs w:val="22"/>
        </w:rPr>
        <w:t xml:space="preserve">Persistent search bar at the top. Search by keyword finds coverage terms within policies.</w:t>
      </w:r>
    </w:p>
    <w:p>
      <w:pPr>
        <w:pStyle w:val="ListParagraph"/>
        <w:numPr>
          <w:ilvl w:val="0"/>
          <w:numId w:val="2"/>
        </w:numPr>
        <w:spacing w:before="40" w:after="60"/>
      </w:pPr>
      <w:r>
        <w:rPr>
          <w:rFonts w:ascii="Arial" w:cs="Arial" w:eastAsia="Arial" w:hAnsi="Arial"/>
          <w:b w:val="false"/>
          <w:bCs w:val="false"/>
          <w:color w:val="4B5563"/>
          <w:sz w:val="22"/>
          <w:szCs w:val="22"/>
        </w:rPr>
        <w:t xml:space="preserve">Filter/sort control: by type, by renewal date, by insurer.</w:t>
      </w:r>
    </w:p>
    <w:p>
      <w:pPr>
        <w:spacing w:before="120"/>
      </w:pPr>
    </w:p>
    <w:p>
      <w:pPr>
        <w:pStyle w:val="Heading2"/>
        <w:spacing w:before="320" w:after="120"/>
      </w:pPr>
      <w:r>
        <w:rPr>
          <w:rFonts w:ascii="Arial" w:cs="Arial" w:eastAsia="Arial" w:hAnsi="Arial"/>
          <w:b/>
          <w:bCs/>
          <w:color w:val="111827"/>
          <w:sz w:val="26"/>
          <w:szCs w:val="26"/>
        </w:rPr>
        <w:t xml:space="preserve">10.2 Upload Flow</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Step</w:t>
            </w:r>
          </w:p>
        </w:tc>
        <w:tc>
          <w:tcPr>
            <w:tcW w:type="dxa" w:w="576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UI Requirement</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1. Category Selection</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Prompt: 'What type of policy is this?' Show large icon tiles: Motor, Health, Home, Life/Investment, Pet, Doctor Liability, Marine, Other.</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2. File Selection</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Open native file picker. Accept PDF. Also support camera capture for physical documents.</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3. AI Processing</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Animated progress state: 'Reading your policy...' Up to ~20 seconds. Branded animation — not a blank spinner.</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4. AI Summary Confirmation</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Display extracted key fields for user to confirm. User can edit any field. CTA: 'Save to Wallet.'</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5. Success State</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Celebratory micro-animation. Offer: 'Analyse Coverage' or 'Share with Agent.'</w:t>
            </w:r>
          </w:p>
        </w:tc>
      </w:tr>
    </w:tbl>
    <w:p>
      <w:pPr>
        <w:spacing w:before="160"/>
      </w:pPr>
    </w:p>
    <w:p>
      <w:pPr>
        <w:pStyle w:val="Heading2"/>
        <w:spacing w:before="320" w:after="120"/>
      </w:pPr>
      <w:r>
        <w:rPr>
          <w:rFonts w:ascii="Arial" w:cs="Arial" w:eastAsia="Arial" w:hAnsi="Arial"/>
          <w:b/>
          <w:bCs/>
          <w:color w:val="111827"/>
          <w:sz w:val="26"/>
          <w:szCs w:val="26"/>
        </w:rPr>
        <w:t xml:space="preserve">10.3 Policy Detail View — Universal Fields</w:t>
      </w:r>
    </w:p>
    <w:p>
      <w:pPr>
        <w:spacing w:before="60" w:after="80"/>
      </w:pPr>
      <w:r>
        <w:rPr>
          <w:rFonts w:ascii="Arial" w:cs="Arial" w:eastAsia="Arial" w:hAnsi="Arial"/>
          <w:color w:val="4B5563"/>
          <w:sz w:val="22"/>
          <w:szCs w:val="22"/>
        </w:rPr>
        <w:t xml:space="preserve">The following fields are common to all policy types and must appear in every detail view:</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Field</w:t>
            </w:r>
          </w:p>
        </w:tc>
        <w:tc>
          <w:tcPr>
            <w:tcW w:type="dxa" w:w="576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UI Requirement</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Renewal / Expiry Date</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Prominent. Warning badge if within 30 days.</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Premium Amount</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Annual and monthly equivalents shown.</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Policy Number</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Tap to copy.</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Customer Support Phone</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Tap-to-call. Labelled clearly per function (claims, roadside, coordination centre).</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AI Gap Alert</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Highlighted banner at the top of the detail view if a gap is detected. Colour-coded by severity.</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Add Note</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Free-text annotation field. Personal — not shared with agent unless explicitly sent.</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Compare</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Side-by-side comparison with previous policy version. Available at renewal time.</w:t>
            </w:r>
          </w:p>
        </w:tc>
      </w:tr>
    </w:tbl>
    <w:p>
      <w:pPr>
        <w:pBdr>
          <w:bottom w:val="single" w:color="BFDBFE" w:sz="4" w:space="1"/>
        </w:pBdr>
        <w:spacing w:before="240" w:after="240"/>
      </w:pPr>
    </w:p>
    <w:p>
      <w:pPr>
        <w:pStyle w:val="Heading1"/>
        <w:spacing w:before="480" w:after="160"/>
      </w:pPr>
      <w:r>
        <w:rPr>
          <w:rFonts w:ascii="Arial" w:cs="Arial" w:eastAsia="Arial" w:hAnsi="Arial"/>
          <w:b/>
          <w:bCs/>
          <w:color w:val="1A56DB"/>
          <w:sz w:val="36"/>
          <w:szCs w:val="36"/>
        </w:rPr>
        <w:t xml:space="preserve">11. AI Insights</w:t>
      </w:r>
    </w:p>
    <w:p>
      <w:pPr>
        <w:spacing w:before="60" w:after="80"/>
      </w:pPr>
      <w:r>
        <w:rPr>
          <w:rFonts w:ascii="Arial" w:cs="Arial" w:eastAsia="Arial" w:hAnsi="Arial"/>
          <w:color w:val="4B5563"/>
          <w:sz w:val="22"/>
          <w:szCs w:val="22"/>
        </w:rPr>
        <w:t xml:space="preserve">The AI Insights section delivers cross-policy intelligence in plain language. It must feel proactive, helpful, and personalised — not generic or alarming.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Insight Type</w:t>
            </w:r>
          </w:p>
        </w:tc>
        <w:tc>
          <w:tcPr>
            <w:tcW w:type="dxa" w:w="576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Example &amp; UI Treatment</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Gap Alert (Red/Amber badge)</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'You lack Flood coverage. Your home is in a high-risk area.' — Red/amber card. CTA: 'Ask Your Agent.'</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Savings Opportunity (Green / € icon)</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'Duplicate Roadside Assistance detected on Motor + Home. Cancelling one saves ~€35/year.' — Green card. CTA: 'Review Duplicate.'</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Benefit Reminder (Blue)</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'Your health policy includes a free annual dental cleaning. Not used this year.' — Blue card. CTA: 'View Benefit Details.'</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ENFIA Opportunity (Purple)</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'Adding Flood coverage to your Home policy could make you eligible for the ENFIA tax deduction.' — Purple card. High financial impact.</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Health Risk (Amber)</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'Your risk assessment suggests scheduling a cardiovascular check-up. Your policy covers it.' — Amber card. CTA: 'Book via Coordination Centre.'</w:t>
            </w:r>
          </w:p>
        </w:tc>
      </w:tr>
    </w:tbl>
    <w:p>
      <w:pPr>
        <w:pBdr>
          <w:bottom w:val="single" w:color="BFDBFE" w:sz="4" w:space="1"/>
        </w:pBdr>
        <w:spacing w:before="240" w:after="240"/>
      </w:pPr>
    </w:p>
    <w:p>
      <w:pPr>
        <w:pStyle w:val="Heading1"/>
        <w:spacing w:before="480" w:after="160"/>
      </w:pPr>
      <w:r>
        <w:rPr>
          <w:rFonts w:ascii="Arial" w:cs="Arial" w:eastAsia="Arial" w:hAnsi="Arial"/>
          <w:b/>
          <w:bCs/>
          <w:color w:val="1A56DB"/>
          <w:sz w:val="36"/>
          <w:szCs w:val="36"/>
        </w:rPr>
        <w:t xml:space="preserve">12. My Agent</w:t>
      </w:r>
    </w:p>
    <w:p>
      <w:pPr>
        <w:spacing w:before="60" w:after="80"/>
      </w:pPr>
      <w:r>
        <w:rPr>
          <w:rFonts w:ascii="Arial" w:cs="Arial" w:eastAsia="Arial" w:hAnsi="Arial"/>
          <w:color w:val="4B5563"/>
          <w:sz w:val="22"/>
          <w:szCs w:val="22"/>
        </w:rPr>
        <w:t xml:space="preserve">The agent connectivity feature bridges the user's digital wallet with their insurance professional. The UI must make selective sharing intuitive and safe — users' primary concern is losing control over what the agent can see.</w:t>
      </w:r>
    </w:p>
    <w:p>
      <w:pPr>
        <w:spacing w:before="120"/>
      </w:pPr>
    </w:p>
    <w:p>
      <w:pPr>
        <w:pStyle w:val="Heading2"/>
        <w:spacing w:before="320" w:after="120"/>
      </w:pPr>
      <w:r>
        <w:rPr>
          <w:rFonts w:ascii="Arial" w:cs="Arial" w:eastAsia="Arial" w:hAnsi="Arial"/>
          <w:b/>
          <w:bCs/>
          <w:color w:val="111827"/>
          <w:sz w:val="26"/>
          <w:szCs w:val="26"/>
        </w:rPr>
        <w:t xml:space="preserve">12.1 Connection Status</w:t>
      </w:r>
    </w:p>
    <w:p>
      <w:pPr>
        <w:pStyle w:val="ListParagraph"/>
        <w:numPr>
          <w:ilvl w:val="0"/>
          <w:numId w:val="2"/>
        </w:numPr>
        <w:spacing w:before="40" w:after="60"/>
      </w:pPr>
      <w:r>
        <w:rPr>
          <w:rFonts w:ascii="Arial" w:cs="Arial" w:eastAsia="Arial" w:hAnsi="Arial"/>
          <w:b w:val="false"/>
          <w:bCs w:val="false"/>
          <w:color w:val="4B5563"/>
          <w:sz w:val="22"/>
          <w:szCs w:val="22"/>
        </w:rPr>
        <w:t xml:space="preserve">Clear status indicator: Connected (green) / Not Connected (grey).</w:t>
      </w:r>
    </w:p>
    <w:p>
      <w:pPr>
        <w:pStyle w:val="ListParagraph"/>
        <w:numPr>
          <w:ilvl w:val="0"/>
          <w:numId w:val="2"/>
        </w:numPr>
        <w:spacing w:before="40" w:after="60"/>
      </w:pPr>
      <w:r>
        <w:rPr>
          <w:rFonts w:ascii="Arial" w:cs="Arial" w:eastAsia="Arial" w:hAnsi="Arial"/>
          <w:b w:val="false"/>
          <w:bCs w:val="false"/>
          <w:color w:val="4B5563"/>
          <w:sz w:val="22"/>
          <w:szCs w:val="22"/>
        </w:rPr>
        <w:t xml:space="preserve">Agent's name, photo (if available), and contact info displayed when connected.</w:t>
      </w:r>
    </w:p>
    <w:p>
      <w:pPr>
        <w:pStyle w:val="ListParagraph"/>
        <w:numPr>
          <w:ilvl w:val="0"/>
          <w:numId w:val="2"/>
        </w:numPr>
        <w:spacing w:before="40" w:after="60"/>
      </w:pPr>
      <w:r>
        <w:rPr>
          <w:rFonts w:ascii="Arial" w:cs="Arial" w:eastAsia="Arial" w:hAnsi="Arial"/>
          <w:b w:val="false"/>
          <w:bCs w:val="false"/>
          <w:color w:val="4B5563"/>
          <w:sz w:val="22"/>
          <w:szCs w:val="22"/>
        </w:rPr>
        <w:t xml:space="preserve">'Last activity' timestamp: e.g., 'Your agent added a document 2 days ago.'</w:t>
      </w:r>
    </w:p>
    <w:p>
      <w:pPr>
        <w:spacing w:before="120"/>
      </w:pPr>
    </w:p>
    <w:p>
      <w:pPr>
        <w:pStyle w:val="Heading2"/>
        <w:spacing w:before="320" w:after="120"/>
      </w:pPr>
      <w:r>
        <w:rPr>
          <w:rFonts w:ascii="Arial" w:cs="Arial" w:eastAsia="Arial" w:hAnsi="Arial"/>
          <w:b/>
          <w:bCs/>
          <w:color w:val="111827"/>
          <w:sz w:val="26"/>
          <w:szCs w:val="26"/>
        </w:rPr>
        <w:t xml:space="preserve">12.2 Granular Sharing Controls</w:t>
      </w:r>
    </w:p>
    <w:p>
      <w:pPr>
        <w:pStyle w:val="ListParagraph"/>
        <w:numPr>
          <w:ilvl w:val="0"/>
          <w:numId w:val="2"/>
        </w:numPr>
        <w:spacing w:before="40" w:after="60"/>
      </w:pPr>
      <w:r>
        <w:rPr>
          <w:rFonts w:ascii="Arial" w:cs="Arial" w:eastAsia="Arial" w:hAnsi="Arial"/>
          <w:b w:val="false"/>
          <w:bCs w:val="false"/>
          <w:color w:val="4B5563"/>
          <w:sz w:val="22"/>
          <w:szCs w:val="22"/>
        </w:rPr>
        <w:t xml:space="preserve">Per-policy sharing toggle: each policy has an on/off toggle for agent visibility.</w:t>
      </w:r>
    </w:p>
    <w:p>
      <w:pPr>
        <w:pStyle w:val="ListParagraph"/>
        <w:numPr>
          <w:ilvl w:val="0"/>
          <w:numId w:val="2"/>
        </w:numPr>
        <w:spacing w:before="40" w:after="60"/>
      </w:pPr>
      <w:r>
        <w:rPr>
          <w:rFonts w:ascii="Arial" w:cs="Arial" w:eastAsia="Arial" w:hAnsi="Arial"/>
          <w:b w:val="false"/>
          <w:bCs w:val="false"/>
          <w:color w:val="4B5563"/>
          <w:sz w:val="22"/>
          <w:szCs w:val="22"/>
        </w:rPr>
        <w:t xml:space="preserve">Example: Motor = Shared, Home = Shared, Life = Private. Visual distinction between shared and private policies.</w:t>
      </w:r>
    </w:p>
    <w:p>
      <w:pPr>
        <w:pStyle w:val="ListParagraph"/>
        <w:numPr>
          <w:ilvl w:val="0"/>
          <w:numId w:val="2"/>
        </w:numPr>
        <w:spacing w:before="40" w:after="60"/>
      </w:pPr>
      <w:r>
        <w:rPr>
          <w:rFonts w:ascii="Arial" w:cs="Arial" w:eastAsia="Arial" w:hAnsi="Arial"/>
          <w:b w:val="false"/>
          <w:bCs w:val="false"/>
          <w:color w:val="4B5563"/>
          <w:sz w:val="22"/>
          <w:szCs w:val="22"/>
        </w:rPr>
        <w:t xml:space="preserve">A clearly labelled 'What your agent can see' summary view.</w:t>
      </w:r>
    </w:p>
    <w:p>
      <w:pPr>
        <w:spacing w:before="120"/>
      </w:pPr>
    </w:p>
    <w:p>
      <w:pPr>
        <w:pStyle w:val="Heading2"/>
        <w:spacing w:before="320" w:after="120"/>
      </w:pPr>
      <w:r>
        <w:rPr>
          <w:rFonts w:ascii="Arial" w:cs="Arial" w:eastAsia="Arial" w:hAnsi="Arial"/>
          <w:b/>
          <w:bCs/>
          <w:color w:val="111827"/>
          <w:sz w:val="26"/>
          <w:szCs w:val="26"/>
        </w:rPr>
        <w:t xml:space="preserve">12.3 Agent Actions</w:t>
      </w:r>
    </w:p>
    <w:p>
      <w:pPr>
        <w:pStyle w:val="ListParagraph"/>
        <w:numPr>
          <w:ilvl w:val="0"/>
          <w:numId w:val="2"/>
        </w:numPr>
        <w:spacing w:before="40" w:after="60"/>
      </w:pPr>
      <w:r>
        <w:rPr>
          <w:rFonts w:ascii="Arial" w:cs="Arial" w:eastAsia="Arial" w:hAnsi="Arial"/>
          <w:b w:val="false"/>
          <w:bCs w:val="false"/>
          <w:color w:val="4B5563"/>
          <w:sz w:val="22"/>
          <w:szCs w:val="22"/>
        </w:rPr>
        <w:t xml:space="preserve">Agent uploads a document (e.g., updated Green Card) → user gets push notification: 'Your agent has added a new document.'</w:t>
      </w:r>
    </w:p>
    <w:p>
      <w:pPr>
        <w:pStyle w:val="ListParagraph"/>
        <w:numPr>
          <w:ilvl w:val="0"/>
          <w:numId w:val="2"/>
        </w:numPr>
        <w:spacing w:before="40" w:after="60"/>
      </w:pPr>
      <w:r>
        <w:rPr>
          <w:rFonts w:ascii="Arial" w:cs="Arial" w:eastAsia="Arial" w:hAnsi="Arial"/>
          <w:b w:val="false"/>
          <w:bCs w:val="false"/>
          <w:color w:val="4B5563"/>
          <w:sz w:val="22"/>
          <w:szCs w:val="22"/>
        </w:rPr>
        <w:t xml:space="preserve">Agent flags a change → user sees highlighted items in the policy detail view.</w:t>
      </w:r>
    </w:p>
    <w:p>
      <w:pPr>
        <w:pStyle w:val="ListParagraph"/>
        <w:numPr>
          <w:ilvl w:val="0"/>
          <w:numId w:val="2"/>
        </w:numPr>
        <w:spacing w:before="40" w:after="60"/>
      </w:pPr>
      <w:r>
        <w:rPr>
          <w:rFonts w:ascii="Arial" w:cs="Arial" w:eastAsia="Arial" w:hAnsi="Arial"/>
          <w:b w:val="false"/>
          <w:bCs w:val="false"/>
          <w:color w:val="4B5563"/>
          <w:sz w:val="22"/>
          <w:szCs w:val="22"/>
        </w:rPr>
        <w:t xml:space="preserve">User can send a specific document to their agent via 'Share with Agent' CTA from within any policy.</w:t>
      </w:r>
    </w:p>
    <w:p>
      <w:pPr>
        <w:pStyle w:val="ListParagraph"/>
        <w:numPr>
          <w:ilvl w:val="0"/>
          <w:numId w:val="2"/>
        </w:numPr>
        <w:spacing w:before="40" w:after="60"/>
      </w:pPr>
      <w:r>
        <w:rPr>
          <w:rFonts w:ascii="Arial" w:cs="Arial" w:eastAsia="Arial" w:hAnsi="Arial"/>
          <w:b w:val="false"/>
          <w:bCs w:val="false"/>
          <w:color w:val="4B5563"/>
          <w:sz w:val="22"/>
          <w:szCs w:val="22"/>
        </w:rPr>
        <w:t xml:space="preserve">In-app communication log: simple thread showing document exchanges between user and agent.</w:t>
      </w:r>
    </w:p>
    <w:p>
      <w:pPr>
        <w:pBdr>
          <w:bottom w:val="single" w:color="BFDBFE" w:sz="4" w:space="1"/>
        </w:pBdr>
        <w:spacing w:before="240" w:after="240"/>
      </w:pPr>
    </w:p>
    <w:p>
      <w:pPr>
        <w:pStyle w:val="Heading1"/>
        <w:spacing w:before="480" w:after="160"/>
      </w:pPr>
      <w:r>
        <w:rPr>
          <w:rFonts w:ascii="Arial" w:cs="Arial" w:eastAsia="Arial" w:hAnsi="Arial"/>
          <w:b/>
          <w:bCs/>
          <w:color w:val="1A56DB"/>
          <w:sz w:val="36"/>
          <w:szCs w:val="36"/>
        </w:rPr>
        <w:t xml:space="preserve">13. Family Sharing</w:t>
      </w:r>
    </w:p>
    <w:p>
      <w:pPr>
        <w:pStyle w:val="ListParagraph"/>
        <w:numPr>
          <w:ilvl w:val="0"/>
          <w:numId w:val="2"/>
        </w:numPr>
        <w:spacing w:before="40" w:after="60"/>
      </w:pPr>
      <w:r>
        <w:rPr>
          <w:rFonts w:ascii="Arial" w:cs="Arial" w:eastAsia="Arial" w:hAnsi="Arial"/>
          <w:b w:val="false"/>
          <w:bCs w:val="false"/>
          <w:color w:val="4B5563"/>
          <w:sz w:val="22"/>
          <w:szCs w:val="22"/>
        </w:rPr>
        <w:t xml:space="preserve">A user can invite a family member (spouse/partner) to share their Wallet via email or phone.</w:t>
      </w:r>
    </w:p>
    <w:p>
      <w:pPr>
        <w:pStyle w:val="ListParagraph"/>
        <w:numPr>
          <w:ilvl w:val="0"/>
          <w:numId w:val="2"/>
        </w:numPr>
        <w:spacing w:before="40" w:after="60"/>
      </w:pPr>
      <w:r>
        <w:rPr>
          <w:rFonts w:ascii="Arial" w:cs="Arial" w:eastAsia="Arial" w:hAnsi="Arial"/>
          <w:b w:val="false"/>
          <w:bCs w:val="false"/>
          <w:color w:val="4B5563"/>
          <w:sz w:val="22"/>
          <w:szCs w:val="22"/>
        </w:rPr>
        <w:t xml:space="preserve">Both users have equal access to upload, view, and manage all shared policies.</w:t>
      </w:r>
    </w:p>
    <w:p>
      <w:pPr>
        <w:pStyle w:val="ListParagraph"/>
        <w:numPr>
          <w:ilvl w:val="0"/>
          <w:numId w:val="2"/>
        </w:numPr>
        <w:spacing w:before="40" w:after="60"/>
      </w:pPr>
      <w:r>
        <w:rPr>
          <w:rFonts w:ascii="Arial" w:cs="Arial" w:eastAsia="Arial" w:hAnsi="Arial"/>
          <w:b w:val="false"/>
          <w:bCs w:val="false"/>
          <w:color w:val="4B5563"/>
          <w:sz w:val="22"/>
          <w:szCs w:val="22"/>
        </w:rPr>
        <w:t xml:space="preserve">Individual policies can remain private if desired.</w:t>
      </w:r>
    </w:p>
    <w:p>
      <w:pPr>
        <w:pStyle w:val="ListParagraph"/>
        <w:numPr>
          <w:ilvl w:val="0"/>
          <w:numId w:val="2"/>
        </w:numPr>
        <w:spacing w:before="40" w:after="60"/>
      </w:pPr>
      <w:r>
        <w:rPr>
          <w:rFonts w:ascii="Arial" w:cs="Arial" w:eastAsia="Arial" w:hAnsi="Arial"/>
          <w:b w:val="false"/>
          <w:bCs w:val="false"/>
          <w:color w:val="4B5563"/>
          <w:sz w:val="22"/>
          <w:szCs w:val="22"/>
        </w:rPr>
        <w:t xml:space="preserve">Children's health insurance cards are a primary use case — easily findable and downloadable.</w:t>
      </w:r>
    </w:p>
    <w:p>
      <w:pPr>
        <w:pStyle w:val="ListParagraph"/>
        <w:numPr>
          <w:ilvl w:val="0"/>
          <w:numId w:val="2"/>
        </w:numPr>
        <w:spacing w:before="40" w:after="60"/>
      </w:pPr>
      <w:r>
        <w:rPr>
          <w:rFonts w:ascii="Arial" w:cs="Arial" w:eastAsia="Arial" w:hAnsi="Arial"/>
          <w:b w:val="false"/>
          <w:bCs w:val="false"/>
          <w:color w:val="4B5563"/>
          <w:sz w:val="22"/>
          <w:szCs w:val="22"/>
        </w:rPr>
        <w:t xml:space="preserve">Notifications are mirrored to all wallet members.</w:t>
      </w:r>
    </w:p>
    <w:p>
      <w:pPr>
        <w:pBdr>
          <w:bottom w:val="single" w:color="BFDBFE" w:sz="4" w:space="1"/>
        </w:pBdr>
        <w:spacing w:before="240" w:after="240"/>
      </w:pPr>
    </w:p>
    <w:p>
      <w:pPr>
        <w:pStyle w:val="Heading1"/>
        <w:spacing w:before="480" w:after="160"/>
      </w:pPr>
      <w:r>
        <w:rPr>
          <w:rFonts w:ascii="Arial" w:cs="Arial" w:eastAsia="Arial" w:hAnsi="Arial"/>
          <w:b/>
          <w:bCs/>
          <w:color w:val="1A56DB"/>
          <w:sz w:val="36"/>
          <w:szCs w:val="36"/>
        </w:rPr>
        <w:t xml:space="preserve">14. Notifications &amp; Reminders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Notification Type</w:t>
            </w:r>
          </w:p>
        </w:tc>
        <w:tc>
          <w:tcPr>
            <w:tcW w:type="dxa" w:w="576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Timing &amp; Content</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Renewal Reminder</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30 days, 7 days, and 3 days before expiry. Message: 'Your [Policy] with [Insurer] expires on [Date]. Premium: €[Amount].' CTA: 'Renew Now.'</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Grace Period Alert</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On renewal date if not yet renewed: 'You are within your grace period. Renew today to stay covered.'</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Agent Activity</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Immediate: 'Your agent has added/updated a document in your Wallet.'</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AI Insight</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Weekly max: New savings opportunity or gap detected.</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Benefit Reminder</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Annually: 'Your annual health check-up benefit is available. Have you used it?'</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Health Risk Alert</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Based on assessment score: 'Your risk profile suggests scheduling [screening]. It is covered by your policy.'</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ENFIA Opportunity</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Seasonal (pre-ENFIA period): 'Check if your Home policy qualifies for the ENFIA deduction.'</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Green Card Expiry</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30 days before: 'Your Green Card expires on [date]. Download or request a new one.'</w:t>
            </w:r>
          </w:p>
        </w:tc>
      </w:tr>
    </w:tbl>
    <w:p>
      <w:pPr>
        <w:pBdr>
          <w:bottom w:val="single" w:color="BFDBFE" w:sz="4" w:space="1"/>
        </w:pBdr>
        <w:spacing w:before="240" w:after="240"/>
      </w:pPr>
    </w:p>
    <w:p>
      <w:pPr>
        <w:pStyle w:val="Heading1"/>
        <w:spacing w:before="480" w:after="160"/>
      </w:pPr>
      <w:r>
        <w:rPr>
          <w:rFonts w:ascii="Arial" w:cs="Arial" w:eastAsia="Arial" w:hAnsi="Arial"/>
          <w:b/>
          <w:bCs/>
          <w:color w:val="1A56DB"/>
          <w:sz w:val="36"/>
          <w:szCs w:val="36"/>
        </w:rPr>
        <w:t xml:space="preserve">15. Export &amp; Utility Features</w:t>
      </w:r>
    </w:p>
    <w:p>
      <w:pPr>
        <w:spacing w:before="80"/>
      </w:pPr>
    </w:p>
    <w:p>
      <w:pPr>
        <w:pStyle w:val="Heading2"/>
        <w:spacing w:before="320" w:after="120"/>
      </w:pPr>
      <w:r>
        <w:rPr>
          <w:rFonts w:ascii="Arial" w:cs="Arial" w:eastAsia="Arial" w:hAnsi="Arial"/>
          <w:b/>
          <w:bCs/>
          <w:color w:val="111827"/>
          <w:sz w:val="26"/>
          <w:szCs w:val="26"/>
        </w:rPr>
        <w:t xml:space="preserve">15.1 Export Portfolio</w:t>
      </w:r>
    </w:p>
    <w:p>
      <w:pPr>
        <w:spacing w:before="60" w:after="80"/>
      </w:pPr>
      <w:r>
        <w:rPr>
          <w:rFonts w:ascii="Arial" w:cs="Arial" w:eastAsia="Arial" w:hAnsi="Arial"/>
          <w:color w:val="4B5563"/>
          <w:sz w:val="22"/>
          <w:szCs w:val="22"/>
        </w:rPr>
        <w:t xml:space="preserve">Generates a structured PDF summary of all active policies. Use cases: accountant, financial advisor, personal records. Includes: policy list, premium amounts, renewal dates, and key coverage highlights.</w:t>
      </w:r>
    </w:p>
    <w:p>
      <w:pPr>
        <w:spacing w:before="120"/>
      </w:pPr>
    </w:p>
    <w:p>
      <w:pPr>
        <w:pStyle w:val="Heading2"/>
        <w:spacing w:before="320" w:after="120"/>
      </w:pPr>
      <w:r>
        <w:rPr>
          <w:rFonts w:ascii="Arial" w:cs="Arial" w:eastAsia="Arial" w:hAnsi="Arial"/>
          <w:b/>
          <w:bCs/>
          <w:color w:val="111827"/>
          <w:sz w:val="26"/>
          <w:szCs w:val="26"/>
        </w:rPr>
        <w:t xml:space="preserve">15.2 Policy Comparison</w:t>
      </w:r>
    </w:p>
    <w:p>
      <w:pPr>
        <w:spacing w:before="60" w:after="80"/>
      </w:pPr>
      <w:r>
        <w:rPr>
          <w:rFonts w:ascii="Arial" w:cs="Arial" w:eastAsia="Arial" w:hAnsi="Arial"/>
          <w:color w:val="4B5563"/>
          <w:sz w:val="22"/>
          <w:szCs w:val="22"/>
        </w:rPr>
        <w:t xml:space="preserve">Side-by-side comparison view triggered by 'Compare' CTA in policy detail. Compares current policy vs. previous version. Highlights changes in premium, coverage limits, and deductibles in a clear diff format.</w:t>
      </w:r>
    </w:p>
    <w:p>
      <w:pPr>
        <w:spacing w:before="120"/>
      </w:pPr>
    </w:p>
    <w:p>
      <w:pPr>
        <w:pStyle w:val="Heading2"/>
        <w:spacing w:before="320" w:after="120"/>
      </w:pPr>
      <w:r>
        <w:rPr>
          <w:rFonts w:ascii="Arial" w:cs="Arial" w:eastAsia="Arial" w:hAnsi="Arial"/>
          <w:b/>
          <w:bCs/>
          <w:color w:val="111827"/>
          <w:sz w:val="26"/>
          <w:szCs w:val="26"/>
        </w:rPr>
        <w:t xml:space="preserve">15.3 Digital Card Download</w:t>
      </w:r>
    </w:p>
    <w:p>
      <w:pPr>
        <w:spacing w:before="60" w:after="80"/>
      </w:pPr>
      <w:r>
        <w:rPr>
          <w:rFonts w:ascii="Arial" w:cs="Arial" w:eastAsia="Arial" w:hAnsi="Arial"/>
          <w:color w:val="4B5563"/>
          <w:sz w:val="22"/>
          <w:szCs w:val="22"/>
        </w:rPr>
        <w:t xml:space="preserve">For Motor: 'Download Card' generates a digital insurance card image (saved to camera roll). For Health: generates a digital health membership card. Both shareable via the phone's native share sheet.</w:t>
      </w:r>
    </w:p>
    <w:p>
      <w:pPr>
        <w:pBdr>
          <w:bottom w:val="single" w:color="BFDBFE" w:sz="4" w:space="1"/>
        </w:pBdr>
        <w:spacing w:before="240" w:after="240"/>
      </w:pPr>
    </w:p>
    <w:p>
      <w:pPr>
        <w:pStyle w:val="Heading1"/>
        <w:spacing w:before="480" w:after="160"/>
      </w:pPr>
      <w:r>
        <w:rPr>
          <w:rFonts w:ascii="Arial" w:cs="Arial" w:eastAsia="Arial" w:hAnsi="Arial"/>
          <w:b/>
          <w:bCs/>
          <w:color w:val="1A56DB"/>
          <w:sz w:val="36"/>
          <w:szCs w:val="36"/>
        </w:rPr>
        <w:t xml:space="preserve">16. Global UX &amp; Design Principles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Principle</w:t>
            </w:r>
          </w:p>
        </w:tc>
        <w:tc>
          <w:tcPr>
            <w:tcW w:type="dxa" w:w="5760"/>
            <w:tcBorders>
              <w:top w:val="single" w:color="BFDBFE" w:sz="1"/>
              <w:left w:val="single" w:color="BFDBFE" w:sz="1"/>
              <w:bottom w:val="single" w:color="BFDBFE" w:sz="1"/>
              <w:right w:val="single" w:color="BFDB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Implementation Guidance</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Plain Language First</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All AI content, policy summaries, and UI copy must use plain, everyday language. Complex terms (e.g., 'deductible', 'unit-linked') must always have a plain-language tooltip.</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Speed &amp; Immediacy</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Key information (renewal date, phone number, coverage status) must be reachable in 2 taps or fewer from the dashboard.</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Trust &amp; Security</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GDPR compliance badges, encryption messaging, and granular sharing controls must be visible at key moments: upload, sharing, agent connection.</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Proactive over Reactive</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The app surfaces important information before the user needs to search for it. Reminders, AI cards, and agent notifications are the product working for the user.</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Mobile-First</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All layouts and touch targets designed for one-handed mobile use. Minimum touch target: 44x44pt.</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Biometric-First Auth</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Never show a password screen as primary login. Biometrics are the default.</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Family-Aware</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All flows and notifications designed with the assumption that 2 adults may share a wallet.</w:t>
            </w:r>
          </w:p>
        </w:tc>
      </w:tr>
      <w:tr>
        <w:tc>
          <w:tcPr>
            <w:tcW w:type="dxa" w:w="3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Never Upsell First</w:t>
            </w:r>
          </w:p>
        </w:tc>
        <w:tc>
          <w:tcPr>
            <w:tcW w:type="dxa" w:w="576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Gap analysis and AI insights must always lead with the user's benefit or risk — never with a product pitch. CTA: 'Ask Your Agent' not 'Buy Now.'</w:t>
            </w:r>
          </w:p>
        </w:tc>
      </w:tr>
      <w:tr>
        <w:tc>
          <w:tcPr>
            <w:tcW w:type="dxa" w:w="3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111827"/>
                <w:sz w:val="21"/>
                <w:szCs w:val="21"/>
              </w:rPr>
              <w:t xml:space="preserve">Greece-Specific Context</w:t>
            </w:r>
          </w:p>
        </w:tc>
        <w:tc>
          <w:tcPr>
            <w:tcW w:type="dxa" w:w="5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4B5563"/>
                <w:sz w:val="21"/>
                <w:szCs w:val="21"/>
              </w:rPr>
              <w:t xml:space="preserve">UI must acknowledge Greek-specific elements: ENFIA deduction, Leishmania coverage, Athens earthquake risk, Δήλωση Ατυχήματος vs Οδική Βοήθεια distinction, TaxisNet friction avoidance.</w:t>
            </w:r>
          </w:p>
        </w:tc>
      </w:tr>
    </w:tbl>
    <w:p>
      <w:pPr>
        <w:pBdr>
          <w:bottom w:val="single" w:color="BFDBFE" w:sz="4" w:space="1"/>
        </w:pBdr>
        <w:spacing w:before="240" w:after="240"/>
      </w:pPr>
    </w:p>
    <w:p>
      <w:pPr>
        <w:pStyle w:val="Heading1"/>
        <w:spacing w:before="480" w:after="160"/>
      </w:pPr>
      <w:r>
        <w:rPr>
          <w:rFonts w:ascii="Arial" w:cs="Arial" w:eastAsia="Arial" w:hAnsi="Arial"/>
          <w:b/>
          <w:bCs/>
          <w:color w:val="1A56DB"/>
          <w:sz w:val="36"/>
          <w:szCs w:val="36"/>
        </w:rPr>
        <w:t xml:space="preserve">17. Key User Journey Summaries</w:t>
      </w:r>
    </w:p>
    <w:p>
      <w:pPr>
        <w:spacing w:before="120"/>
      </w:pPr>
    </w:p>
    <w:p>
      <w:pPr>
        <w:spacing w:before="200" w:after="80"/>
      </w:pPr>
      <w:r>
        <w:rPr>
          <w:rFonts w:ascii="Arial" w:cs="Arial" w:eastAsia="Arial" w:hAnsi="Arial"/>
          <w:b/>
          <w:bCs/>
          <w:color w:val="1A56DB"/>
          <w:sz w:val="23"/>
          <w:szCs w:val="23"/>
        </w:rPr>
        <w:t xml:space="preserve">Journey 1: New User First Upload</w:t>
      </w:r>
    </w:p>
    <w:p>
      <w:pPr>
        <w:spacing w:before="60" w:after="80"/>
      </w:pPr>
      <w:r>
        <w:rPr>
          <w:rFonts w:ascii="Arial" w:cs="Arial" w:eastAsia="Arial" w:hAnsi="Arial"/>
          <w:color w:val="4B5563"/>
          <w:sz w:val="22"/>
          <w:szCs w:val="22"/>
        </w:rPr>
        <w:t xml:space="preserve">Download app → Sign up → 3-step Welcome Tour (intent capture) → Upload first policy → AI reads document (~20s) → View AI summary → Dashboard. Ends with the user seeing their policy data in a clean, readable format.</w:t>
      </w:r>
    </w:p>
    <w:p>
      <w:pPr>
        <w:spacing w:before="100"/>
      </w:pPr>
    </w:p>
    <w:p>
      <w:pPr>
        <w:spacing w:before="200" w:after="80"/>
      </w:pPr>
      <w:r>
        <w:rPr>
          <w:rFonts w:ascii="Arial" w:cs="Arial" w:eastAsia="Arial" w:hAnsi="Arial"/>
          <w:b/>
          <w:bCs/>
          <w:color w:val="1A56DB"/>
          <w:sz w:val="23"/>
          <w:szCs w:val="23"/>
        </w:rPr>
        <w:t xml:space="preserve">Journey 2: Routine Policy Lookup</w:t>
      </w:r>
    </w:p>
    <w:p>
      <w:pPr>
        <w:spacing w:before="60" w:after="80"/>
      </w:pPr>
      <w:r>
        <w:rPr>
          <w:rFonts w:ascii="Arial" w:cs="Arial" w:eastAsia="Arial" w:hAnsi="Arial"/>
          <w:color w:val="4B5563"/>
          <w:sz w:val="22"/>
          <w:szCs w:val="22"/>
        </w:rPr>
        <w:t xml:space="preserve">Open app (biometric) → Dashboard → Tap policy card in Recent Documents → Policy Detail View → Find coverage detail or phone number. Target: 3 taps from app open to information found.</w:t>
      </w:r>
    </w:p>
    <w:p>
      <w:pPr>
        <w:spacing w:before="100"/>
      </w:pPr>
    </w:p>
    <w:p>
      <w:pPr>
        <w:spacing w:before="200" w:after="80"/>
      </w:pPr>
      <w:r>
        <w:rPr>
          <w:rFonts w:ascii="Arial" w:cs="Arial" w:eastAsia="Arial" w:hAnsi="Arial"/>
          <w:b/>
          <w:bCs/>
          <w:color w:val="1A56DB"/>
          <w:sz w:val="23"/>
          <w:szCs w:val="23"/>
        </w:rPr>
        <w:t xml:space="preserve">Journey 3: Sharing a Document with Agent</w:t>
      </w:r>
    </w:p>
    <w:p>
      <w:pPr>
        <w:spacing w:before="60" w:after="80"/>
      </w:pPr>
      <w:r>
        <w:rPr>
          <w:rFonts w:ascii="Arial" w:cs="Arial" w:eastAsia="Arial" w:hAnsi="Arial"/>
          <w:color w:val="4B5563"/>
          <w:sz w:val="22"/>
          <w:szCs w:val="22"/>
        </w:rPr>
        <w:t xml:space="preserve">My Wallet → Select policy → 'Share with Agent' → Confirm agent → Sent confirmation. Agent receives notification and accesses the document.</w:t>
      </w:r>
    </w:p>
    <w:p>
      <w:pPr>
        <w:spacing w:before="100"/>
      </w:pPr>
    </w:p>
    <w:p>
      <w:pPr>
        <w:spacing w:before="200" w:after="80"/>
      </w:pPr>
      <w:r>
        <w:rPr>
          <w:rFonts w:ascii="Arial" w:cs="Arial" w:eastAsia="Arial" w:hAnsi="Arial"/>
          <w:b/>
          <w:bCs/>
          <w:color w:val="1A56DB"/>
          <w:sz w:val="23"/>
          <w:szCs w:val="23"/>
        </w:rPr>
        <w:t xml:space="preserve">Journey 4: Acting on a Savings Insight</w:t>
      </w:r>
    </w:p>
    <w:p>
      <w:pPr>
        <w:spacing w:before="60" w:after="80"/>
      </w:pPr>
      <w:r>
        <w:rPr>
          <w:rFonts w:ascii="Arial" w:cs="Arial" w:eastAsia="Arial" w:hAnsi="Arial"/>
          <w:color w:val="4B5563"/>
          <w:sz w:val="22"/>
          <w:szCs w:val="22"/>
        </w:rPr>
        <w:t xml:space="preserve">Notification: 'Duplicate Roadside Assistance found' → AI Insights → View insight card → 'Ask Your Agent' → Agent reviews and advises.</w:t>
      </w:r>
    </w:p>
    <w:p>
      <w:pPr>
        <w:spacing w:before="100"/>
      </w:pPr>
    </w:p>
    <w:p>
      <w:pPr>
        <w:spacing w:before="200" w:after="80"/>
      </w:pPr>
      <w:r>
        <w:rPr>
          <w:rFonts w:ascii="Arial" w:cs="Arial" w:eastAsia="Arial" w:hAnsi="Arial"/>
          <w:b/>
          <w:bCs/>
          <w:color w:val="1A56DB"/>
          <w:sz w:val="23"/>
          <w:szCs w:val="23"/>
        </w:rPr>
        <w:t xml:space="preserve">Journey 5: Renewal Reminder Response</w:t>
      </w:r>
    </w:p>
    <w:p>
      <w:pPr>
        <w:spacing w:before="60" w:after="80"/>
      </w:pPr>
      <w:r>
        <w:rPr>
          <w:rFonts w:ascii="Arial" w:cs="Arial" w:eastAsia="Arial" w:hAnsi="Arial"/>
          <w:color w:val="4B5563"/>
          <w:sz w:val="22"/>
          <w:szCs w:val="22"/>
        </w:rPr>
        <w:t xml:space="preserve">Push notification (7 days before expiry) → Dashboard Upcoming Renewals → 'Renew Now' → Insurer payment page (external) → User completes renewal → Policy marked renewed.</w:t>
      </w:r>
    </w:p>
    <w:p>
      <w:pPr>
        <w:spacing w:before="100"/>
      </w:pPr>
    </w:p>
    <w:p>
      <w:pPr>
        <w:spacing w:before="200" w:after="80"/>
      </w:pPr>
      <w:r>
        <w:rPr>
          <w:rFonts w:ascii="Arial" w:cs="Arial" w:eastAsia="Arial" w:hAnsi="Arial"/>
          <w:b/>
          <w:bCs/>
          <w:color w:val="1A56DB"/>
          <w:sz w:val="23"/>
          <w:szCs w:val="23"/>
        </w:rPr>
        <w:t xml:space="preserve">Journey 6: Agent Uploads a New Document</w:t>
      </w:r>
    </w:p>
    <w:p>
      <w:pPr>
        <w:spacing w:before="60" w:after="80"/>
      </w:pPr>
      <w:r>
        <w:rPr>
          <w:rFonts w:ascii="Arial" w:cs="Arial" w:eastAsia="Arial" w:hAnsi="Arial"/>
          <w:color w:val="4B5563"/>
          <w:sz w:val="22"/>
          <w:szCs w:val="22"/>
        </w:rPr>
        <w:t xml:space="preserve">Agent uploads updated Green Card → User receives push notification → My Wallet → New document visible with agent-uploaded badge → User views and confirms.</w:t>
      </w:r>
    </w:p>
    <w:p>
      <w:pPr>
        <w:spacing w:before="100"/>
      </w:pPr>
    </w:p>
    <w:p>
      <w:pPr>
        <w:spacing w:before="200" w:after="80"/>
      </w:pPr>
      <w:r>
        <w:rPr>
          <w:rFonts w:ascii="Arial" w:cs="Arial" w:eastAsia="Arial" w:hAnsi="Arial"/>
          <w:b/>
          <w:bCs/>
          <w:color w:val="1A56DB"/>
          <w:sz w:val="23"/>
          <w:szCs w:val="23"/>
        </w:rPr>
        <w:t xml:space="preserve">Journey 7: Gap Analysis Discovery</w:t>
      </w:r>
    </w:p>
    <w:p>
      <w:pPr>
        <w:spacing w:before="60" w:after="80"/>
      </w:pPr>
      <w:r>
        <w:rPr>
          <w:rFonts w:ascii="Arial" w:cs="Arial" w:eastAsia="Arial" w:hAnsi="Arial"/>
          <w:color w:val="4B5563"/>
          <w:sz w:val="22"/>
          <w:szCs w:val="22"/>
        </w:rPr>
        <w:t xml:space="preserve">Dashboard → Savings Opportunities badge → AI Insights → Home gap analysis: 'Your property is insured for €80,000 below replacement cost. Risk in total loss: -€80,000.' → 'Ask Your Agent' CTA → Pre-filled message sent to agent.</w:t>
      </w:r>
    </w:p>
    <w:p>
      <w:pPr>
        <w:spacing w:before="100"/>
      </w:pPr>
    </w:p>
    <w:p>
      <w:pPr>
        <w:spacing w:before="200" w:after="80"/>
      </w:pPr>
      <w:r>
        <w:rPr>
          <w:rFonts w:ascii="Arial" w:cs="Arial" w:eastAsia="Arial" w:hAnsi="Arial"/>
          <w:b/>
          <w:bCs/>
          <w:color w:val="1A56DB"/>
          <w:sz w:val="23"/>
          <w:szCs w:val="23"/>
        </w:rPr>
        <w:t xml:space="preserve">Journey 8: ENFIA Tax Deduction Check</w:t>
      </w:r>
    </w:p>
    <w:p>
      <w:pPr>
        <w:spacing w:before="60" w:after="80"/>
      </w:pPr>
      <w:r>
        <w:rPr>
          <w:rFonts w:ascii="Arial" w:cs="Arial" w:eastAsia="Arial" w:hAnsi="Arial"/>
          <w:color w:val="4B5563"/>
          <w:sz w:val="22"/>
          <w:szCs w:val="22"/>
        </w:rPr>
        <w:t xml:space="preserve">Notification (pre-ENFIA season) → Home policy detail view → ENFIA criteria checklist → Fire: covered, Earthquake: covered, Flood: NOT covered → Gap alert displayed → 'Ask Your Agent to Add Flood Coverage' → If added: ENFIA badge updates to 'Eligible.'</w:t>
      </w:r>
    </w:p>
    <w:p>
      <w:pPr>
        <w:spacing w:before="100"/>
      </w:pPr>
    </w:p>
    <w:p>
      <w:pPr>
        <w:spacing w:before="200" w:after="80"/>
      </w:pPr>
      <w:r>
        <w:rPr>
          <w:rFonts w:ascii="Arial" w:cs="Arial" w:eastAsia="Arial" w:hAnsi="Arial"/>
          <w:b/>
          <w:bCs/>
          <w:color w:val="1A56DB"/>
          <w:sz w:val="23"/>
          <w:szCs w:val="23"/>
        </w:rPr>
        <w:t xml:space="preserve">Journey 9: Health Risk Assessment</w:t>
      </w:r>
    </w:p>
    <w:p>
      <w:pPr>
        <w:spacing w:before="60" w:after="80"/>
      </w:pPr>
      <w:r>
        <w:rPr>
          <w:rFonts w:ascii="Arial" w:cs="Arial" w:eastAsia="Arial" w:hAnsi="Arial"/>
          <w:color w:val="4B5563"/>
          <w:sz w:val="22"/>
          <w:szCs w:val="22"/>
        </w:rPr>
        <w:t xml:space="preserve">Health &amp; Wellness tab → 'Take Risk Assessment' → Brief questionnaire → Risk scores displayed per category → Personalised recommendations shown → 'This check-up is covered by your policy' → CTA to book via coordination centre.</w:t>
      </w:r>
    </w:p>
    <w:p>
      <w:pPr>
        <w:spacing w:before="100"/>
      </w:pPr>
    </w:p>
    <w:p>
      <w:pPr>
        <w:spacing w:before="200" w:after="80"/>
      </w:pPr>
      <w:r>
        <w:rPr>
          <w:rFonts w:ascii="Arial" w:cs="Arial" w:eastAsia="Arial" w:hAnsi="Arial"/>
          <w:b/>
          <w:bCs/>
          <w:color w:val="1A56DB"/>
          <w:sz w:val="23"/>
          <w:szCs w:val="23"/>
        </w:rPr>
        <w:t xml:space="preserve">Journey 10: Pet Leishmania Coverage Check</w:t>
      </w:r>
    </w:p>
    <w:p>
      <w:pPr>
        <w:spacing w:before="60" w:after="80"/>
      </w:pPr>
      <w:r>
        <w:rPr>
          <w:rFonts w:ascii="Arial" w:cs="Arial" w:eastAsia="Arial" w:hAnsi="Arial"/>
          <w:color w:val="4B5563"/>
          <w:sz w:val="22"/>
          <w:szCs w:val="22"/>
        </w:rPr>
        <w:t xml:space="preserve">Pet insurance card → Breed health radar → Leishmania badge: 'Not Covered' → AI Gap Alert: 'Leishmania is prevalent in Greece. Your policy does not cover this condition.' → 'Ask Your Agent to Review' CTA.</w:t>
      </w:r>
    </w:p>
    <w:p>
      <w:pPr>
        <w:pBdr>
          <w:bottom w:val="single" w:color="BFDBFE" w:sz="4" w:space="1"/>
        </w:pBdr>
        <w:spacing w:before="240" w:after="240"/>
      </w:pP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60"/>
              <w:left w:type="dxa" w:w="200"/>
              <w:bottom w:type="dxa" w:w="160"/>
              <w:right w:type="dxa" w:w="200"/>
            </w:tcMar>
          </w:tcPr>
          <w:p>
            <w:r>
              <w:rPr>
                <w:rFonts w:ascii="Arial" w:cs="Arial" w:eastAsia="Arial" w:hAnsi="Arial"/>
                <w:b/>
                <w:bCs/>
                <w:color w:val="1A56DB"/>
                <w:sz w:val="22"/>
                <w:szCs w:val="22"/>
              </w:rPr>
              <w:t xml:space="preserve">Document Note:  </w:t>
            </w:r>
            <w:r>
              <w:rPr>
                <w:rFonts w:ascii="Arial" w:cs="Arial" w:eastAsia="Arial" w:hAnsi="Arial"/>
                <w:color w:val="4B5563"/>
                <w:sz w:val="22"/>
                <w:szCs w:val="22"/>
              </w:rPr>
              <w:t xml:space="preserve">This specification describes user experience and interface requirements only. Technical architecture, API design, and backend implementation are outside the scope of this document. All user journey descriptions are derived from primary user research and validated product requirements. Version 2.0 adds Policy Card System (Section 6), Detailed Coverage Views (Section 7), Dynamic Gap Analysis Engine (Section 8), and Health &amp; Wellness Module (Section 9).</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6"/>
      <w:szCs w:val="36"/>
    </w:rPr>
  </w:style>
  <w:style w:type="paragraph" w:styleId="Heading2">
    <w:name w:val="Heading 2"/>
    <w:basedOn w:val="Normal"/>
    <w:next w:val="Normal"/>
    <w:qFormat/>
    <w:pPr>
      <w:spacing w:before="32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2026-02-23T11:30:37.932Z</dcterms:created>
  <dcterms:modified xsi:type="dcterms:W3CDTF">2026-02-23T11:30:37.933Z</dcterms:modified>
</cp:coreProperties>
</file>

<file path=docProps/custom.xml><?xml version="1.0" encoding="utf-8"?>
<Properties xmlns="http://schemas.openxmlformats.org/officeDocument/2006/custom-properties" xmlns:vt="http://schemas.openxmlformats.org/officeDocument/2006/docPropsVTypes"/>
</file>