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39116750"/>
        <w:docPartObj>
          <w:docPartGallery w:val="Cover Pages"/>
          <w:docPartUnique/>
        </w:docPartObj>
      </w:sdtPr>
      <w:sdtEndPr>
        <w:rPr>
          <w:rFonts w:asciiTheme="majorHAnsi" w:eastAsiaTheme="majorEastAsia" w:hAnsiTheme="majorHAnsi" w:cstheme="majorBidi"/>
          <w:color w:val="0F4761" w:themeColor="accent1" w:themeShade="BF"/>
          <w:sz w:val="32"/>
          <w:szCs w:val="32"/>
        </w:rPr>
      </w:sdtEndPr>
      <w:sdtContent>
        <w:p w14:paraId="056A8DCD" w14:textId="6C1683EB" w:rsidR="00797F5E" w:rsidRDefault="00797F5E"/>
        <w:tbl>
          <w:tblPr>
            <w:tblpPr w:leftFromText="187" w:rightFromText="187" w:vertAnchor="page" w:horzAnchor="margin" w:tblpY="2656"/>
            <w:tblW w:w="4567" w:type="pct"/>
            <w:tblBorders>
              <w:left w:val="single" w:sz="12" w:space="0" w:color="156082" w:themeColor="accent1"/>
            </w:tblBorders>
            <w:tblCellMar>
              <w:left w:w="144" w:type="dxa"/>
              <w:right w:w="115" w:type="dxa"/>
            </w:tblCellMar>
            <w:tblLook w:val="04A0" w:firstRow="1" w:lastRow="0" w:firstColumn="1" w:lastColumn="0" w:noHBand="0" w:noVBand="1"/>
          </w:tblPr>
          <w:tblGrid>
            <w:gridCol w:w="8536"/>
          </w:tblGrid>
          <w:tr w:rsidR="00CF4D45" w14:paraId="153E9B05" w14:textId="77777777" w:rsidTr="00CF4D45">
            <w:sdt>
              <w:sdtPr>
                <w:rPr>
                  <w:color w:val="0F4761" w:themeColor="accent1" w:themeShade="BF"/>
                  <w:sz w:val="32"/>
                  <w:szCs w:val="40"/>
                </w:rPr>
                <w:alias w:val="Company"/>
                <w:id w:val="13406915"/>
                <w:placeholder>
                  <w:docPart w:val="618E709EA03F4160A0D55C07E1225A03"/>
                </w:placeholder>
                <w:dataBinding w:prefixMappings="xmlns:ns0='http://schemas.openxmlformats.org/officeDocument/2006/extended-properties'" w:xpath="/ns0:Properties[1]/ns0:Company[1]" w:storeItemID="{6668398D-A668-4E3E-A5EB-62B293D839F1}"/>
                <w:text/>
              </w:sdtPr>
              <w:sdtContent>
                <w:tc>
                  <w:tcPr>
                    <w:tcW w:w="8536" w:type="dxa"/>
                    <w:tcMar>
                      <w:top w:w="216" w:type="dxa"/>
                      <w:left w:w="115" w:type="dxa"/>
                      <w:bottom w:w="216" w:type="dxa"/>
                      <w:right w:w="115" w:type="dxa"/>
                    </w:tcMar>
                  </w:tcPr>
                  <w:p w14:paraId="40AF0423" w14:textId="77777777" w:rsidR="00CF4D45" w:rsidRDefault="00CF4D45" w:rsidP="00CF4D45">
                    <w:pPr>
                      <w:pStyle w:val="NoSpacing"/>
                      <w:rPr>
                        <w:color w:val="0F4761" w:themeColor="accent1" w:themeShade="BF"/>
                        <w:sz w:val="24"/>
                      </w:rPr>
                    </w:pPr>
                    <w:r w:rsidRPr="00CF4D45">
                      <w:rPr>
                        <w:color w:val="0F4761" w:themeColor="accent1" w:themeShade="BF"/>
                        <w:sz w:val="32"/>
                        <w:szCs w:val="40"/>
                      </w:rPr>
                      <w:t xml:space="preserve">MATH </w:t>
                    </w:r>
                    <w:r>
                      <w:rPr>
                        <w:color w:val="0F4761" w:themeColor="accent1" w:themeShade="BF"/>
                        <w:sz w:val="32"/>
                        <w:szCs w:val="40"/>
                      </w:rPr>
                      <w:t xml:space="preserve">546 - </w:t>
                    </w:r>
                    <w:r w:rsidRPr="00CF4D45">
                      <w:rPr>
                        <w:color w:val="0F4761" w:themeColor="accent1" w:themeShade="BF"/>
                        <w:sz w:val="32"/>
                        <w:szCs w:val="40"/>
                      </w:rPr>
                      <w:t>Summer 2026</w:t>
                    </w:r>
                  </w:p>
                </w:tc>
              </w:sdtContent>
            </w:sdt>
          </w:tr>
          <w:tr w:rsidR="00CF4D45" w14:paraId="78BD9343" w14:textId="77777777" w:rsidTr="00CF4D45">
            <w:tc>
              <w:tcPr>
                <w:tcW w:w="8536" w:type="dxa"/>
              </w:tcPr>
              <w:sdt>
                <w:sdtPr>
                  <w:rPr>
                    <w:rStyle w:val="TitleChar"/>
                  </w:rPr>
                  <w:alias w:val="Title"/>
                  <w:id w:val="13406919"/>
                  <w:placeholder>
                    <w:docPart w:val="B3A9AF9DA2AA4397A2B5F0E354A14B25"/>
                  </w:placeholder>
                  <w:dataBinding w:prefixMappings="xmlns:ns0='http://schemas.openxmlformats.org/package/2006/metadata/core-properties' xmlns:ns1='http://purl.org/dc/elements/1.1/'" w:xpath="/ns0:coreProperties[1]/ns1:title[1]" w:storeItemID="{6C3C8BC8-F283-45AE-878A-BAB7291924A1}"/>
                  <w:text/>
                </w:sdtPr>
                <w:sdtContent>
                  <w:p w14:paraId="1DCDBC4D" w14:textId="77777777" w:rsidR="00CF4D45" w:rsidRDefault="00CF4D45" w:rsidP="00CF4D45">
                    <w:pPr>
                      <w:pStyle w:val="NoSpacing"/>
                      <w:spacing w:line="216" w:lineRule="auto"/>
                      <w:rPr>
                        <w:rFonts w:asciiTheme="majorHAnsi" w:eastAsiaTheme="majorEastAsia" w:hAnsiTheme="majorHAnsi" w:cstheme="majorBidi"/>
                        <w:color w:val="156082" w:themeColor="accent1"/>
                        <w:sz w:val="88"/>
                        <w:szCs w:val="88"/>
                      </w:rPr>
                    </w:pPr>
                    <w:r w:rsidRPr="0015561B">
                      <w:rPr>
                        <w:rStyle w:val="TitleChar"/>
                      </w:rPr>
                      <w:t>Time Series Modeling and Forecasting of Georgia Docks Chicken Prices</w:t>
                    </w:r>
                  </w:p>
                </w:sdtContent>
              </w:sdt>
            </w:tc>
          </w:tr>
          <w:tr w:rsidR="00CF4D45" w14:paraId="4AF48EEB" w14:textId="77777777" w:rsidTr="00CF4D45">
            <w:trPr>
              <w:trHeight w:val="342"/>
            </w:trPr>
            <w:tc>
              <w:tcPr>
                <w:tcW w:w="8536" w:type="dxa"/>
                <w:tcMar>
                  <w:top w:w="216" w:type="dxa"/>
                  <w:left w:w="115" w:type="dxa"/>
                  <w:bottom w:w="216" w:type="dxa"/>
                  <w:right w:w="115" w:type="dxa"/>
                </w:tcMar>
              </w:tcPr>
              <w:p w14:paraId="1BC76183" w14:textId="067F5EB7" w:rsidR="00CF4D45" w:rsidRDefault="00CF4D45" w:rsidP="00CF4D45">
                <w:pPr>
                  <w:pStyle w:val="NoSpacing"/>
                  <w:rPr>
                    <w:color w:val="0F4761" w:themeColor="accent1" w:themeShade="BF"/>
                    <w:sz w:val="24"/>
                  </w:rPr>
                </w:pPr>
                <w:r w:rsidRPr="00CF4D45">
                  <w:rPr>
                    <w:color w:val="0F4761" w:themeColor="accent1" w:themeShade="BF"/>
                    <w:sz w:val="32"/>
                    <w:szCs w:val="36"/>
                  </w:rPr>
                  <w:t xml:space="preserve">By </w:t>
                </w:r>
                <w:r w:rsidR="0015561B">
                  <w:rPr>
                    <w:color w:val="0F4761" w:themeColor="accent1" w:themeShade="BF"/>
                    <w:sz w:val="32"/>
                    <w:szCs w:val="36"/>
                  </w:rPr>
                  <w:t>Monica Yesildirek</w:t>
                </w:r>
              </w:p>
            </w:tc>
          </w:tr>
        </w:tbl>
        <w:p w14:paraId="3CCC51CA" w14:textId="22884B99" w:rsidR="00797F5E" w:rsidRDefault="00FD1D6A">
          <w:pPr>
            <w:rPr>
              <w:rFonts w:asciiTheme="majorHAnsi" w:eastAsiaTheme="majorEastAsia" w:hAnsiTheme="majorHAnsi" w:cstheme="majorBidi"/>
              <w:color w:val="0F4761" w:themeColor="accent1" w:themeShade="BF"/>
              <w:sz w:val="32"/>
              <w:szCs w:val="32"/>
            </w:rPr>
          </w:pPr>
          <w:r w:rsidRPr="00FD1D6A">
            <w:rPr>
              <w:rFonts w:asciiTheme="majorHAnsi" w:eastAsiaTheme="majorEastAsia" w:hAnsiTheme="majorHAnsi" w:cstheme="majorBidi"/>
              <w:noProof/>
              <w:color w:val="0F4761" w:themeColor="accent1" w:themeShade="BF"/>
              <w:sz w:val="32"/>
              <w:szCs w:val="32"/>
            </w:rPr>
            <mc:AlternateContent>
              <mc:Choice Requires="wpg">
                <w:drawing>
                  <wp:anchor distT="45720" distB="45720" distL="182880" distR="182880" simplePos="0" relativeHeight="251661312" behindDoc="0" locked="0" layoutInCell="1" allowOverlap="1" wp14:anchorId="56356043" wp14:editId="312FDB22">
                    <wp:simplePos x="0" y="0"/>
                    <wp:positionH relativeFrom="margin">
                      <wp:posOffset>-28575</wp:posOffset>
                    </wp:positionH>
                    <wp:positionV relativeFrom="margin">
                      <wp:posOffset>5810250</wp:posOffset>
                    </wp:positionV>
                    <wp:extent cx="5400675" cy="1865765"/>
                    <wp:effectExtent l="0" t="0" r="9525" b="1270"/>
                    <wp:wrapSquare wrapText="bothSides"/>
                    <wp:docPr id="198" name="Group 198" descr="Decorative title-page graphic"/>
                    <wp:cNvGraphicFramePr/>
                    <a:graphic xmlns:a="http://schemas.openxmlformats.org/drawingml/2006/main">
                      <a:graphicData uri="http://schemas.microsoft.com/office/word/2010/wordprocessingGroup">
                        <wpg:wgp>
                          <wpg:cNvGrpSpPr/>
                          <wpg:grpSpPr>
                            <a:xfrm>
                              <a:off x="0" y="0"/>
                              <a:ext cx="5400675" cy="1865765"/>
                              <a:chOff x="-18976" y="0"/>
                              <a:chExt cx="3586424" cy="1865393"/>
                            </a:xfrm>
                          </wpg:grpSpPr>
                          <wps:wsp>
                            <wps:cNvPr id="199" name="Rectangle 199"/>
                            <wps:cNvSpPr/>
                            <wps:spPr>
                              <a:xfrm>
                                <a:off x="0" y="0"/>
                                <a:ext cx="3567448" cy="27060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F0B92D" w14:textId="5481AEDA" w:rsidR="00FD1D6A" w:rsidRPr="00756355" w:rsidRDefault="00756355" w:rsidP="00756355">
                                  <w:pPr>
                                    <w:rPr>
                                      <w:rFonts w:asciiTheme="majorHAnsi" w:eastAsiaTheme="majorEastAsia" w:hAnsiTheme="majorHAnsi" w:cstheme="majorBidi"/>
                                      <w:b/>
                                      <w:bCs/>
                                      <w:color w:val="FFFFFF" w:themeColor="background1"/>
                                      <w:szCs w:val="28"/>
                                    </w:rPr>
                                  </w:pPr>
                                  <w:r w:rsidRPr="00756355">
                                    <w:rPr>
                                      <w:rFonts w:asciiTheme="majorHAnsi" w:eastAsiaTheme="majorEastAsia" w:hAnsiTheme="majorHAnsi" w:cstheme="majorBidi"/>
                                      <w:b/>
                                      <w:bCs/>
                                      <w:color w:val="FFFFFF" w:themeColor="background1"/>
                                      <w:szCs w:val="28"/>
                                    </w:rPr>
                                    <w:t>Disclosures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18976" y="270605"/>
                                <a:ext cx="3567448" cy="15947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196587" w14:textId="18ECE452" w:rsidR="00FD1D6A" w:rsidRPr="00FD1D6A" w:rsidRDefault="00FD1D6A" w:rsidP="00FD1D6A">
                                  <w:pPr>
                                    <w:rPr>
                                      <w:caps/>
                                      <w:sz w:val="26"/>
                                      <w:szCs w:val="26"/>
                                    </w:rPr>
                                  </w:pPr>
                                  <w:r w:rsidRPr="00FD1D6A">
                                    <w:rPr>
                                      <w:sz w:val="26"/>
                                      <w:szCs w:val="26"/>
                                    </w:rPr>
                                    <w:t>I have read and understood the assignment policies.</w:t>
                                  </w:r>
                                  <w:r w:rsidRPr="00FD1D6A">
                                    <w:rPr>
                                      <w:caps/>
                                      <w:sz w:val="26"/>
                                      <w:szCs w:val="26"/>
                                    </w:rPr>
                                    <w:t xml:space="preserve"> </w:t>
                                  </w:r>
                                  <w:r w:rsidRPr="00FD1D6A">
                                    <w:rPr>
                                      <w:sz w:val="26"/>
                                      <w:szCs w:val="26"/>
                                    </w:rPr>
                                    <w:t>I did not work with any classmates.</w:t>
                                  </w:r>
                                </w:p>
                                <w:p w14:paraId="066933FB" w14:textId="22C69D44" w:rsidR="00FD1D6A" w:rsidRPr="00FD1D6A" w:rsidRDefault="00FD1D6A">
                                  <w:pPr>
                                    <w:rPr>
                                      <w:caps/>
                                      <w:sz w:val="26"/>
                                      <w:szCs w:val="26"/>
                                    </w:rPr>
                                  </w:pPr>
                                  <w:r w:rsidRPr="00FD1D6A">
                                    <w:rPr>
                                      <w:sz w:val="26"/>
                                      <w:szCs w:val="26"/>
                                    </w:rPr>
                                    <w:t>Notebooklm was used to summarize and produce study materials, particularly to combine like concepts spread throughout the readings, recordings, and slides.</w:t>
                                  </w:r>
                                  <w:r w:rsidRPr="00FD1D6A">
                                    <w:rPr>
                                      <w:caps/>
                                      <w:sz w:val="26"/>
                                      <w:szCs w:val="26"/>
                                    </w:rPr>
                                    <w:t xml:space="preserve"> </w:t>
                                  </w:r>
                                  <w:r w:rsidR="003809F5">
                                    <w:rPr>
                                      <w:caps/>
                                      <w:sz w:val="26"/>
                                      <w:szCs w:val="26"/>
                                    </w:rPr>
                                    <w:t>C</w:t>
                                  </w:r>
                                  <w:r w:rsidR="003809F5">
                                    <w:rPr>
                                      <w:sz w:val="26"/>
                                      <w:szCs w:val="26"/>
                                    </w:rPr>
                                    <w:t>laude code was used to aid in taking the original 1200 lines of R code I wrote down to the 238 lines submitted.</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356043" id="Group 198" o:spid="_x0000_s1026" style="position:absolute;margin-left:-2.25pt;margin-top:457.5pt;width:425.25pt;height:146.9pt;z-index:251661312;mso-wrap-distance-left:14.4pt;mso-wrap-distance-top:3.6pt;mso-wrap-distance-right:14.4pt;mso-wrap-distance-bottom:3.6pt;mso-position-horizontal-relative:margin;mso-position-vertical-relative:margin;mso-width-relative:margin;mso-height-relative:margin" coordorigin="-189" coordsize="35864,18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">
                    <v:rect id="Rectangle 199"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" fillcolor="#0f4761 [2404]" stroked="f" strokeweight="1pt">
                      <v:textbox>
                        <w:txbxContent>
                          <w:p w14:paraId="35F0B92D" w14:textId="5481AEDA" w:rsidR="00FD1D6A" w:rsidRPr="00756355" w:rsidRDefault="00756355" w:rsidP="00756355">
                            <w:pPr>
                              <w:rPr>
                                <w:rFonts w:asciiTheme="majorHAnsi" w:eastAsiaTheme="majorEastAsia" w:hAnsiTheme="majorHAnsi" w:cstheme="majorBidi"/>
                                <w:b/>
                                <w:bCs/>
                                <w:color w:val="FFFFFF" w:themeColor="background1"/>
                                <w:szCs w:val="28"/>
                              </w:rPr>
                            </w:pPr>
                            <w:r w:rsidRPr="00756355">
                              <w:rPr>
                                <w:rFonts w:asciiTheme="majorHAnsi" w:eastAsiaTheme="majorEastAsia" w:hAnsiTheme="majorHAnsi" w:cstheme="majorBidi"/>
                                <w:b/>
                                <w:bCs/>
                                <w:color w:val="FFFFFF" w:themeColor="background1"/>
                                <w:szCs w:val="28"/>
                              </w:rPr>
                              <w:t>Disclosures</w:t>
                            </w:r>
                          </w:p>
                        </w:txbxContent>
                      </v:textbox>
                    </v:rect>
                    <v:shapetype id="_x0000_t202" coordsize="21600,21600" o:spt="202" path="m,l,21600r21600,l21600,xe">
                      <v:stroke joinstyle="miter"/>
                      <v:path gradientshapeok="t" o:connecttype="rect"/>
                    </v:shapetype>
                    <v:shape id="Text Box 200" o:spid="_x0000_s1028" type="#_x0000_t202" style="position:absolute;left:-189;top:2706;width:35673;height:15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1A196587" w14:textId="18ECE452" w:rsidR="00FD1D6A" w:rsidRPr="00FD1D6A" w:rsidRDefault="00FD1D6A" w:rsidP="00FD1D6A">
                            <w:pPr>
                              <w:rPr>
                                <w:caps/>
                                <w:sz w:val="26"/>
                                <w:szCs w:val="26"/>
                              </w:rPr>
                            </w:pPr>
                            <w:r w:rsidRPr="00FD1D6A">
                              <w:rPr>
                                <w:sz w:val="26"/>
                                <w:szCs w:val="26"/>
                              </w:rPr>
                              <w:t>I have read and understood the assignment policies.</w:t>
                            </w:r>
                            <w:r w:rsidRPr="00FD1D6A">
                              <w:rPr>
                                <w:caps/>
                                <w:sz w:val="26"/>
                                <w:szCs w:val="26"/>
                              </w:rPr>
                              <w:t xml:space="preserve"> </w:t>
                            </w:r>
                            <w:r w:rsidRPr="00FD1D6A">
                              <w:rPr>
                                <w:sz w:val="26"/>
                                <w:szCs w:val="26"/>
                              </w:rPr>
                              <w:t>I did not work with any classmates.</w:t>
                            </w:r>
                          </w:p>
                          <w:p w14:paraId="066933FB" w14:textId="22C69D44" w:rsidR="00FD1D6A" w:rsidRPr="00FD1D6A" w:rsidRDefault="00FD1D6A">
                            <w:pPr>
                              <w:rPr>
                                <w:caps/>
                                <w:sz w:val="26"/>
                                <w:szCs w:val="26"/>
                              </w:rPr>
                            </w:pPr>
                            <w:r w:rsidRPr="00FD1D6A">
                              <w:rPr>
                                <w:sz w:val="26"/>
                                <w:szCs w:val="26"/>
                              </w:rPr>
                              <w:t>Notebooklm was used to summarize and produce study materials, particularly to combine like concepts spread throughout the readings, recordings, and slides.</w:t>
                            </w:r>
                            <w:r w:rsidRPr="00FD1D6A">
                              <w:rPr>
                                <w:caps/>
                                <w:sz w:val="26"/>
                                <w:szCs w:val="26"/>
                              </w:rPr>
                              <w:t xml:space="preserve"> </w:t>
                            </w:r>
                            <w:r w:rsidR="003809F5">
                              <w:rPr>
                                <w:caps/>
                                <w:sz w:val="26"/>
                                <w:szCs w:val="26"/>
                              </w:rPr>
                              <w:t>C</w:t>
                            </w:r>
                            <w:r w:rsidR="003809F5">
                              <w:rPr>
                                <w:sz w:val="26"/>
                                <w:szCs w:val="26"/>
                              </w:rPr>
                              <w:t>laude code was used to aid in taking the original 1200 lines of R code I wrote down to the 238 lines submitted.</w:t>
                            </w:r>
                          </w:p>
                        </w:txbxContent>
                      </v:textbox>
                    </v:shape>
                    <w10:wrap type="square" anchorx="margin" anchory="margin"/>
                  </v:group>
                </w:pict>
              </mc:Fallback>
            </mc:AlternateContent>
          </w:r>
          <w:r w:rsidR="00CF4D45">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659264" behindDoc="1" locked="0" layoutInCell="1" allowOverlap="1" wp14:anchorId="6424F560" wp14:editId="59D34639">
                    <wp:simplePos x="0" y="0"/>
                    <wp:positionH relativeFrom="margin">
                      <wp:posOffset>-114300</wp:posOffset>
                    </wp:positionH>
                    <wp:positionV relativeFrom="paragraph">
                      <wp:posOffset>226060</wp:posOffset>
                    </wp:positionV>
                    <wp:extent cx="5486400" cy="3952875"/>
                    <wp:effectExtent l="0" t="0" r="0" b="9525"/>
                    <wp:wrapNone/>
                    <wp:docPr id="18" name="Rectangle 18" descr="Decorative title-page graphic"/>
                    <wp:cNvGraphicFramePr/>
                    <a:graphic xmlns:a="http://schemas.openxmlformats.org/drawingml/2006/main">
                      <a:graphicData uri="http://schemas.microsoft.com/office/word/2010/wordprocessingShape">
                        <wps:wsp>
                          <wps:cNvSpPr/>
                          <wps:spPr>
                            <a:xfrm>
                              <a:off x="0" y="0"/>
                              <a:ext cx="5486400" cy="395287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8C7B37" id="Rectangle 18" o:spid="_x0000_s1026" style="position:absolute;margin-left:-9pt;margin-top:17.8pt;width:6in;height:311.2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" fillcolor="#f2f2f2 [3052]" stroked="f" strokeweight="1pt">
                    <w10:wrap anchorx="margin"/>
                  </v:rect>
                </w:pict>
              </mc:Fallback>
            </mc:AlternateContent>
          </w:r>
          <w:r w:rsidR="00CF4D45">
            <w:rPr>
              <w:rFonts w:asciiTheme="majorHAnsi" w:eastAsiaTheme="majorEastAsia" w:hAnsiTheme="majorHAnsi" w:cstheme="majorBidi"/>
              <w:noProof/>
              <w:color w:val="0F4761" w:themeColor="accent1" w:themeShade="BF"/>
              <w:sz w:val="32"/>
              <w:szCs w:val="32"/>
            </w:rPr>
            <w:t xml:space="preserve"> </w:t>
          </w:r>
          <w:r w:rsidR="00797F5E">
            <w:rPr>
              <w:rFonts w:asciiTheme="majorHAnsi" w:eastAsiaTheme="majorEastAsia" w:hAnsiTheme="majorHAnsi" w:cstheme="majorBidi"/>
              <w:color w:val="0F4761" w:themeColor="accent1" w:themeShade="BF"/>
              <w:sz w:val="32"/>
              <w:szCs w:val="32"/>
            </w:rPr>
            <w:br w:type="page"/>
          </w:r>
        </w:p>
      </w:sdtContent>
    </w:sdt>
    <w:p>
      <w:pPr>
        <w:pStyle w:val="Heading2"/>
        <w:keepNext/>
      </w:pPr>
      <w:r>
        <w:t>Introduction</w:t>
      </w:r>
    </w:p>
    <w:p>
      <w:pPr>
        <w:spacing w:after="120"/>
        <w:jc w:val="both"/>
      </w:pPr>
      <w:r>
        <w:t>The chicken dataset in the astsa package contains 180 monthly observations of whole-bird spot prices at Georgia docks from August 2001 through July 2016, measured in U.S. cents per pound. The series was evaluated for trend, seasonality, changing variance, unusual observations, and stationarity before candidate models were identified.</w:t>
      </w:r>
    </w:p>
    <w:p>
      <w:pPr>
        <w:spacing w:after="120"/>
        <w:jc w:val="both"/>
      </w:pPr>
      <w:r>
        <w:t>The analysis compared ordinary and seasonal differencing rather than assigning the differencing order in advance. Candidate SARIMA models were then screened using coefficient significance, fitted roots, residual diagnostics, and expanding-window forecast validation. Information criteria were used only within a common differencing family, and the selected model was used to produce a 24-month forecast with 80% and 95% prediction intervals.</w:t>
      </w:r>
    </w:p>
    <w:p>
      <w:pPr>
        <w:pStyle w:val="Heading2"/>
        <w:keepNext/>
      </w:pPr>
      <w:r>
        <w:t>Preliminary Analysis</w:t>
      </w:r>
    </w:p>
    <w:p>
      <w:pPr>
        <w:pStyle w:val="Heading3"/>
        <w:keepNext/>
      </w:pPr>
      <w:r>
        <w:t>Original series and transformation decision</w:t>
      </w:r>
    </w:p>
    <w:p>
      <w:pPr>
        <w:spacing w:after="120"/>
        <w:jc w:val="both"/>
      </w:pPr>
      <w:r>
        <w:t>The monthly chicken price series was first examined for trend, seasonality, changing variance, and unusual observations. As shown in Figure 1, prices increased from approximately 66 cents per pound in 2001 to more than 110 cents per pound by 2016, indicating a clear upward trend and changing mean. Short-term fluctuations occur throughout the series, but no consistent increase in variability is visually apparent.</w:t>
      </w:r>
    </w:p>
    <w:p>
      <w:pPr>
        <w:keepNext/>
        <w:spacing w:before="80"/>
        <w:jc w:val="center"/>
      </w:pPr>
      <w:r>
        <w:drawing>
          <wp:inline xmlns:a="http://schemas.openxmlformats.org/drawingml/2006/main" xmlns:pic="http://schemas.openxmlformats.org/drawingml/2006/picture">
            <wp:extent cx="5806440" cy="3870960"/>
            <wp:docPr id="201" name="Picture 201" descr="Monthly chicken price series on the original scale."/>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806440" cy="3870960"/>
                    </a:xfrm>
                    <a:prstGeom prst="rect"/>
                  </pic:spPr>
                </pic:pic>
              </a:graphicData>
            </a:graphic>
          </wp:inline>
        </w:drawing>
      </w:r>
    </w:p>
    <w:p>
      <w:pPr>
        <w:spacing w:before="40" w:after="160"/>
        <w:jc w:val="left"/>
      </w:pPr>
      <w:r>
        <w:rPr>
          <w:b/>
          <w:color w:val="156082"/>
        </w:rPr>
        <w:t xml:space="preserve">Figure 1. </w:t>
      </w:r>
      <w:r>
        <w:t>Monthly chicken price series on the original scale.</w:t>
      </w:r>
    </w:p>
    <w:p>
      <w:pPr>
        <w:spacing w:after="120"/>
        <w:jc w:val="both"/>
      </w:pPr>
      <w:r>
        <w:t>Because variability remains relatively stable as the price level increases, a log transformation is not required. The series is therefore retained on the original scale, allowing the fitted values and forecasts to remain directly interpretable in cents per pound.</w:t>
      </w:r>
    </w:p>
    <w:p>
      <w:pPr>
        <w:pStyle w:val="Heading3"/>
        <w:keepNext/>
      </w:pPr>
      <w:r>
        <w:t>Differencing and stationarity</w:t>
      </w:r>
    </w:p>
    <w:p>
      <w:pPr>
        <w:spacing w:after="120"/>
        <w:jc w:val="both"/>
      </w:pPr>
      <w:r>
        <w:t>The original-series ACF in Figure 2 remains strongly positive and decays slowly across four years of lags. This pattern is consistent with a changing mean and indicates that differencing is required before model identification.</w:t>
      </w:r>
    </w:p>
    <w:p>
      <w:pPr>
        <w:keepNext/>
        <w:spacing w:before="80"/>
        <w:jc w:val="center"/>
      </w:pPr>
      <w:r>
        <w:drawing>
          <wp:inline xmlns:a="http://schemas.openxmlformats.org/drawingml/2006/main" xmlns:pic="http://schemas.openxmlformats.org/drawingml/2006/picture">
            <wp:extent cx="5806440" cy="3870960"/>
            <wp:docPr id="202" name="Picture 202" descr="Sample autocorrelation function of the original monthly chicken price series."/>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806440" cy="3870960"/>
                    </a:xfrm>
                    <a:prstGeom prst="rect"/>
                  </pic:spPr>
                </pic:pic>
              </a:graphicData>
            </a:graphic>
          </wp:inline>
        </w:drawing>
      </w:r>
    </w:p>
    <w:p>
      <w:pPr>
        <w:spacing w:before="40" w:after="160"/>
        <w:jc w:val="left"/>
      </w:pPr>
      <w:r>
        <w:rPr>
          <w:b/>
          <w:color w:val="156082"/>
        </w:rPr>
        <w:t xml:space="preserve">Figure 2. </w:t>
      </w:r>
      <w:r>
        <w:t>Sample autocorrelation function of the original monthly chicken price series.</w:t>
      </w:r>
    </w:p>
    <w:p>
      <w:pPr>
        <w:spacing w:after="120"/>
        <w:jc w:val="both"/>
      </w:pPr>
      <w:r>
        <w:t>Figure 3 compares one ordinary difference with one lag-12 seasonal difference. The ordinary difference fluctuates around zero and removes the long-term upward movement, while its ACF retains a strong short-lag pattern and recurring correlations at seasonal lags. The lag-12 difference also removes the trend, but its smoother cycles and slowly oscillating ACF indicate that substantial nonseasonal dependence remains. These patterns support evaluating both d=1, D=0 and d=0, D=1 rather than using the seasonal difference as the only stationary representation.</w:t>
      </w:r>
    </w:p>
    <w:p>
      <w:pPr>
        <w:keepNext/>
        <w:spacing w:before="80"/>
        <w:jc w:val="center"/>
      </w:pPr>
      <w:r>
        <w:drawing>
          <wp:inline xmlns:a="http://schemas.openxmlformats.org/drawingml/2006/main" xmlns:pic="http://schemas.openxmlformats.org/drawingml/2006/picture">
            <wp:extent cx="5715000" cy="5357812"/>
            <wp:docPr id="203" name="Picture 203" descr="Comparison of the ordinary and lag-12 seasonal differences. The left panels show each differenced series over time, and the right panels show the corresponding sample ACFs."/>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15000" cy="5357812"/>
                    </a:xfrm>
                    <a:prstGeom prst="rect"/>
                  </pic:spPr>
                </pic:pic>
              </a:graphicData>
            </a:graphic>
          </wp:inline>
        </w:drawing>
      </w:r>
    </w:p>
    <w:p>
      <w:pPr>
        <w:spacing w:before="40" w:after="160"/>
        <w:jc w:val="left"/>
      </w:pPr>
      <w:r>
        <w:rPr>
          <w:b/>
          <w:color w:val="156082"/>
        </w:rPr>
        <w:t xml:space="preserve">Figure 3. </w:t>
      </w:r>
      <w:r>
        <w:t>Comparison of the ordinary and lag-12 seasonal differences. The left panels show each differenced series over time, and the right panels show the corresponding sample ACFs.</w:t>
      </w:r>
    </w:p>
    <w:p>
      <w:pPr>
        <w:keepNext/>
        <w:spacing w:before="160" w:after="60"/>
      </w:pPr>
      <w:r>
        <w:rPr>
          <w:b/>
          <w:color w:val="156082"/>
        </w:rPr>
        <w:t xml:space="preserve">Table 1. </w:t>
      </w:r>
      <w:r>
        <w:t>Augmented Dickey-Fuller tests using five lags and a constant.</w:t>
      </w:r>
    </w:p>
    <w:tbl>
      <w:tblPr>
        <w:tblW w:type="dxa" w:w="9000"/>
        <w:jc w:val="left"/>
        <w:tblLayout w:type="fixed"/>
        <w:tblLook w:firstColumn="1" w:firstRow="1" w:lastColumn="0" w:lastRow="0" w:noHBand="0" w:noVBand="1" w:val="04A0"/>
        <w:tblInd w:w="120" w:type="dxa"/>
        <w:tblBorders>
          <w:top w:val="single" w:sz="4" w:space="0" w:color="B4C6D7"/>
          <w:start w:val="single" w:sz="4" w:space="0" w:color="B4C6D7"/>
          <w:bottom w:val="single" w:sz="4" w:space="0" w:color="B4C6D7"/>
          <w:end w:val="single" w:sz="4" w:space="0" w:color="B4C6D7"/>
          <w:insideH w:val="single" w:sz="4" w:space="0" w:color="B4C6D7"/>
          <w:insideV w:val="single" w:sz="4" w:space="0" w:color="B4C6D7"/>
        </w:tblBorders>
      </w:tblPr>
      <w:tblGrid>
        <w:gridCol w:w="4464"/>
        <w:gridCol w:w="1440"/>
        <w:gridCol w:w="1296"/>
        <w:gridCol w:w="1800"/>
      </w:tblGrid>
      <w:tr>
        <w:trPr>
          <w:tblHeader w:val="true"/>
        </w:trPr>
        <w:tc>
          <w:tcPr>
            <w:tcW w:type="dxa" w:w="4464"/>
            <w:tcMar>
              <w:top w:w="90" w:type="dxa"/>
              <w:start w:w="110" w:type="dxa"/>
              <w:bottom w:w="90" w:type="dxa"/>
              <w:end w:w="110" w:type="dxa"/>
            </w:tcMar>
            <w:vAlign w:val="center"/>
            <w:shd w:fill="156082"/>
          </w:tcPr>
          <w:p>
            <w:pPr>
              <w:spacing w:before="0" w:after="0" w:line="240" w:lineRule="auto"/>
            </w:pPr>
            <w:r>
              <w:rPr>
                <w:rFonts w:ascii="Aptos" w:hAnsi="Aptos"/>
                <w:b/>
                <w:color w:val="FFFFFF"/>
                <w:sz w:val="17"/>
              </w:rPr>
              <w:t>Series</w:t>
            </w:r>
          </w:p>
        </w:tc>
        <w:tc>
          <w:tcPr>
            <w:tcW w:type="dxa" w:w="144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7"/>
              </w:rPr>
              <w:t>Statistic</w:t>
            </w:r>
          </w:p>
        </w:tc>
        <w:tc>
          <w:tcPr>
            <w:tcW w:type="dxa" w:w="129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7"/>
              </w:rPr>
              <w:t>p-value</w:t>
            </w:r>
          </w:p>
        </w:tc>
        <w:tc>
          <w:tcPr>
            <w:tcW w:type="dxa" w:w="180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7"/>
              </w:rPr>
              <w:t>Interpretation</w:t>
            </w:r>
          </w:p>
        </w:tc>
      </w:tr>
      <w:tr>
        <w:tc>
          <w:tcPr>
            <w:tcW w:type="dxa" w:w="4464"/>
            <w:tcMar>
              <w:top w:w="90" w:type="dxa"/>
              <w:start w:w="110" w:type="dxa"/>
              <w:bottom w:w="90" w:type="dxa"/>
              <w:end w:w="110" w:type="dxa"/>
            </w:tcMar>
            <w:vAlign w:val="center"/>
          </w:tcPr>
          <w:p>
            <w:pPr>
              <w:spacing w:before="0" w:after="0" w:line="240" w:lineRule="auto"/>
            </w:pPr>
            <w:r>
              <w:rPr>
                <w:rFonts w:ascii="Aptos" w:hAnsi="Aptos"/>
                <w:sz w:val="17"/>
              </w:rPr>
              <w:t>Original series</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7"/>
              </w:rPr>
              <w:t>-0.460</w:t>
            </w:r>
          </w:p>
        </w:tc>
        <w:tc>
          <w:tcPr>
            <w:tcW w:type="dxa" w:w="1296"/>
            <w:tcMar>
              <w:top w:w="90" w:type="dxa"/>
              <w:start w:w="110" w:type="dxa"/>
              <w:bottom w:w="90" w:type="dxa"/>
              <w:end w:w="110" w:type="dxa"/>
            </w:tcMar>
            <w:vAlign w:val="center"/>
          </w:tcPr>
          <w:p>
            <w:pPr>
              <w:spacing w:before="0" w:after="0" w:line="240" w:lineRule="auto"/>
              <w:jc w:val="center"/>
            </w:pPr>
            <w:r>
              <w:rPr>
                <w:rFonts w:ascii="Aptos" w:hAnsi="Aptos"/>
                <w:sz w:val="17"/>
              </w:rPr>
              <w:t>.885</w:t>
            </w:r>
          </w:p>
        </w:tc>
        <w:tc>
          <w:tcPr>
            <w:tcW w:type="dxa" w:w="1800"/>
            <w:tcMar>
              <w:top w:w="90" w:type="dxa"/>
              <w:start w:w="110" w:type="dxa"/>
              <w:bottom w:w="90" w:type="dxa"/>
              <w:end w:w="110" w:type="dxa"/>
            </w:tcMar>
            <w:vAlign w:val="center"/>
          </w:tcPr>
          <w:p>
            <w:pPr>
              <w:spacing w:before="0" w:after="0" w:line="240" w:lineRule="auto"/>
              <w:jc w:val="center"/>
            </w:pPr>
            <w:r>
              <w:rPr>
                <w:rFonts w:ascii="Aptos" w:hAnsi="Aptos"/>
                <w:sz w:val="17"/>
              </w:rPr>
              <w:t>Do not reject</w:t>
            </w:r>
          </w:p>
        </w:tc>
      </w:tr>
      <w:tr>
        <w:tc>
          <w:tcPr>
            <w:tcW w:type="dxa" w:w="4464"/>
            <w:tcMar>
              <w:top w:w="90" w:type="dxa"/>
              <w:start w:w="110" w:type="dxa"/>
              <w:bottom w:w="90" w:type="dxa"/>
              <w:end w:w="110" w:type="dxa"/>
            </w:tcMar>
            <w:vAlign w:val="center"/>
            <w:shd w:fill="F3F6F8"/>
          </w:tcPr>
          <w:p>
            <w:pPr>
              <w:spacing w:before="0" w:after="0" w:line="240" w:lineRule="auto"/>
            </w:pPr>
            <w:r>
              <w:rPr>
                <w:rFonts w:ascii="Aptos" w:hAnsi="Aptos"/>
                <w:sz w:val="17"/>
              </w:rPr>
              <w:t>Ordinary difference (d=1, D=0)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7"/>
              </w:rPr>
              <w:t>-5.604</w:t>
            </w:r>
          </w:p>
        </w:tc>
        <w:tc>
          <w:tcPr>
            <w:tcW w:type="dxa" w:w="1296"/>
            <w:tcMar>
              <w:top w:w="90" w:type="dxa"/>
              <w:start w:w="110" w:type="dxa"/>
              <w:bottom w:w="90" w:type="dxa"/>
              <w:end w:w="110" w:type="dxa"/>
            </w:tcMar>
            <w:vAlign w:val="center"/>
            <w:shd w:fill="F3F6F8"/>
          </w:tcPr>
          <w:p>
            <w:pPr>
              <w:spacing w:before="0" w:after="0" w:line="240" w:lineRule="auto"/>
              <w:jc w:val="center"/>
            </w:pPr>
            <w:r>
              <w:rPr>
                <w:rFonts w:ascii="Aptos" w:hAnsi="Aptos"/>
                <w:sz w:val="17"/>
              </w:rPr>
              <w:t>.010</w:t>
            </w:r>
          </w:p>
        </w:tc>
        <w:tc>
          <w:tcPr>
            <w:tcW w:type="dxa" w:w="1800"/>
            <w:tcMar>
              <w:top w:w="90" w:type="dxa"/>
              <w:start w:w="110" w:type="dxa"/>
              <w:bottom w:w="90" w:type="dxa"/>
              <w:end w:w="110" w:type="dxa"/>
            </w:tcMar>
            <w:vAlign w:val="center"/>
            <w:shd w:fill="F3F6F8"/>
          </w:tcPr>
          <w:p>
            <w:pPr>
              <w:spacing w:before="0" w:after="0" w:line="240" w:lineRule="auto"/>
              <w:jc w:val="center"/>
            </w:pPr>
            <w:r>
              <w:rPr>
                <w:rFonts w:ascii="Aptos" w:hAnsi="Aptos"/>
                <w:sz w:val="17"/>
              </w:rPr>
              <w:t>Reject unit root</w:t>
            </w:r>
          </w:p>
        </w:tc>
      </w:tr>
      <w:tr>
        <w:tc>
          <w:tcPr>
            <w:tcW w:type="dxa" w:w="4464"/>
            <w:tcMar>
              <w:top w:w="90" w:type="dxa"/>
              <w:start w:w="110" w:type="dxa"/>
              <w:bottom w:w="90" w:type="dxa"/>
              <w:end w:w="110" w:type="dxa"/>
            </w:tcMar>
            <w:vAlign w:val="center"/>
          </w:tcPr>
          <w:p>
            <w:pPr>
              <w:spacing w:before="0" w:after="0" w:line="240" w:lineRule="auto"/>
            </w:pPr>
            <w:r>
              <w:rPr>
                <w:rFonts w:ascii="Aptos" w:hAnsi="Aptos"/>
                <w:sz w:val="17"/>
              </w:rPr>
              <w:t>Seasonal difference (d=0, D=1)</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7"/>
              </w:rPr>
              <w:t>-3.656</w:t>
            </w:r>
          </w:p>
        </w:tc>
        <w:tc>
          <w:tcPr>
            <w:tcW w:type="dxa" w:w="1296"/>
            <w:tcMar>
              <w:top w:w="90" w:type="dxa"/>
              <w:start w:w="110" w:type="dxa"/>
              <w:bottom w:w="90" w:type="dxa"/>
              <w:end w:w="110" w:type="dxa"/>
            </w:tcMar>
            <w:vAlign w:val="center"/>
          </w:tcPr>
          <w:p>
            <w:pPr>
              <w:spacing w:before="0" w:after="0" w:line="240" w:lineRule="auto"/>
              <w:jc w:val="center"/>
            </w:pPr>
            <w:r>
              <w:rPr>
                <w:rFonts w:ascii="Aptos" w:hAnsi="Aptos"/>
                <w:sz w:val="17"/>
              </w:rPr>
              <w:t>.010</w:t>
            </w:r>
          </w:p>
        </w:tc>
        <w:tc>
          <w:tcPr>
            <w:tcW w:type="dxa" w:w="1800"/>
            <w:tcMar>
              <w:top w:w="90" w:type="dxa"/>
              <w:start w:w="110" w:type="dxa"/>
              <w:bottom w:w="90" w:type="dxa"/>
              <w:end w:w="110" w:type="dxa"/>
            </w:tcMar>
            <w:vAlign w:val="center"/>
          </w:tcPr>
          <w:p>
            <w:pPr>
              <w:spacing w:before="0" w:after="0" w:line="240" w:lineRule="auto"/>
              <w:jc w:val="center"/>
            </w:pPr>
            <w:r>
              <w:rPr>
                <w:rFonts w:ascii="Aptos" w:hAnsi="Aptos"/>
                <w:sz w:val="17"/>
              </w:rPr>
              <w:t>Reject unit root</w:t>
            </w:r>
          </w:p>
        </w:tc>
      </w:tr>
    </w:tbl>
    <w:p>
      <w:pPr>
        <w:spacing w:after="40"/>
      </w:pPr>
    </w:p>
    <w:p>
      <w:pPr>
        <w:spacing w:after="120"/>
        <w:jc w:val="both"/>
      </w:pPr>
      <w:r>
        <w:t>The augmented Dickey-Fuller test did not reject a unit root in the original series (p=.885), while both differenced series rejected the unit-root null at the reported lower bound of .01. Because both transformations meet this stationarity check, the differencing decision was carried forward into model fitting and diagnostics rather than being made from the test alone.</w:t>
      </w:r>
    </w:p>
    <w:p>
      <w:pPr>
        <w:pStyle w:val="Heading2"/>
        <w:keepNext/>
      </w:pPr>
      <w:r>
        <w:t>Model Identification</w:t>
      </w:r>
    </w:p>
    <w:p>
      <w:pPr>
        <w:spacing w:after="120"/>
        <w:jc w:val="both"/>
      </w:pPr>
      <w:r>
        <w:t>Model identification began with the ACF and PACF of the ordinary difference because it removes the trend with the minimum nonseasonal differencing order. Figure 4 shows a large first-lag ACF followed by a declining pattern, while the largest PACF values occur at the first two monthly lags. Correlation also remains near annual lags. The combined pattern supports a nonseasonal AR(2) component with a seasonal AR(1) term, while nearby AR and mixed ARMA alternatives provide checks on order uncertainty.</w:t>
      </w:r>
    </w:p>
    <w:p>
      <w:pPr>
        <w:keepNext/>
        <w:spacing w:before="80"/>
        <w:jc w:val="center"/>
      </w:pPr>
      <w:r>
        <w:drawing>
          <wp:inline xmlns:a="http://schemas.openxmlformats.org/drawingml/2006/main" xmlns:pic="http://schemas.openxmlformats.org/drawingml/2006/picture">
            <wp:extent cx="5806440" cy="3266122"/>
            <wp:docPr id="204" name="Picture 204" descr="Sample ACF and PACF of the ordinarily differenced chicken price series. Lags are displayed in years, with one year corresponding to 12 monthly lags."/>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806440" cy="3266122"/>
                    </a:xfrm>
                    <a:prstGeom prst="rect"/>
                  </pic:spPr>
                </pic:pic>
              </a:graphicData>
            </a:graphic>
          </wp:inline>
        </w:drawing>
      </w:r>
    </w:p>
    <w:p>
      <w:pPr>
        <w:spacing w:before="40" w:after="160"/>
        <w:jc w:val="left"/>
      </w:pPr>
      <w:r>
        <w:rPr>
          <w:b/>
          <w:color w:val="156082"/>
        </w:rPr>
        <w:t xml:space="preserve">Figure 4. </w:t>
      </w:r>
      <w:r>
        <w:t>Sample ACF and PACF of the ordinarily differenced chicken price series. Lags are displayed in years, with one year corresponding to 12 monthly lags.</w:t>
      </w:r>
    </w:p>
    <w:p>
      <w:pPr>
        <w:spacing w:after="120"/>
        <w:jc w:val="both"/>
      </w:pPr>
      <w:r>
        <w:t>The candidate pool contained three seasonal-difference specifications and four ordinary-difference models centered on the AR(2) identification. A fifth ordinary-difference model added a seasonal MA(1) term as a residual-driven refinement of SARIMA(2,1,0) x (1,0,0)[12]. This produced eight theory-driven candidates. A larger SARIMA(3,1,2) x (1,0,1)[12] specification was not included because its complexity was not supported by the initial ACF and PACF patterns.</w:t>
      </w:r>
    </w:p>
    <w:p>
      <w:pPr>
        <w:spacing w:before="80" w:after="160"/>
        <w:jc w:val="center"/>
      </w:pPr>
      <w:r>
        <w:rPr>
          <w:rFonts w:ascii="Cambria Math" w:hAnsi="Cambria Math"/>
          <w:sz w:val="21"/>
        </w:rPr>
        <w:t>phi(B) Phi(B^12) (1-B)^d (1-B^12)^D X_t = theta(B) Theta(B^12) W_t.     (1)</w:t>
      </w:r>
    </w:p>
    <w:p>
      <w:pPr>
        <w:pStyle w:val="Heading2"/>
        <w:keepNext/>
      </w:pPr>
      <w:r>
        <w:t>Candidate Screening and Validation</w:t>
      </w:r>
    </w:p>
    <w:p>
      <w:pPr>
        <w:pStyle w:val="Heading3"/>
        <w:keepNext/>
      </w:pPr>
      <w:r>
        <w:t>Coefficient and residual screening</w:t>
      </w:r>
    </w:p>
    <w:p>
      <w:pPr>
        <w:spacing w:after="120"/>
        <w:jc w:val="both"/>
      </w:pPr>
      <w:r>
        <w:t>Every candidate was fitted to the original series and evaluated using the same eligibility conditions. A finalist was required to have statistically significant structural coefficients, stationary and invertible fitted roots, and Ljung-Box p-values above .05 at lags 12, 24, and 36. These conditions prevent a model from advancing solely because it has a favorable information criterion or residual variance.</w:t>
      </w:r>
    </w:p>
    <w:p>
      <w:pPr>
        <w:keepNext/>
        <w:spacing w:before="160" w:after="60"/>
      </w:pPr>
      <w:r>
        <w:rPr>
          <w:b/>
          <w:color w:val="156082"/>
        </w:rPr>
        <w:t xml:space="preserve">Table 2. </w:t>
      </w:r>
      <w:r>
        <w:t>Screening results for the theory-driven SARIMA candidate set.</w:t>
      </w:r>
    </w:p>
    <w:tbl>
      <w:tblPr>
        <w:tblW w:type="dxa" w:w="9360"/>
        <w:jc w:val="left"/>
        <w:tblLayout w:type="fixed"/>
        <w:tblLook w:firstColumn="1" w:firstRow="1" w:lastColumn="0" w:lastRow="0" w:noHBand="0" w:noVBand="1" w:val="04A0"/>
        <w:tblInd w:w="120" w:type="dxa"/>
        <w:tblBorders>
          <w:top w:val="single" w:sz="4" w:space="0" w:color="B4C6D7"/>
          <w:start w:val="single" w:sz="4" w:space="0" w:color="B4C6D7"/>
          <w:bottom w:val="single" w:sz="4" w:space="0" w:color="B4C6D7"/>
          <w:end w:val="single" w:sz="4" w:space="0" w:color="B4C6D7"/>
          <w:insideH w:val="single" w:sz="4" w:space="0" w:color="B4C6D7"/>
          <w:insideV w:val="single" w:sz="4" w:space="0" w:color="B4C6D7"/>
        </w:tblBorders>
      </w:tblPr>
      <w:tblGrid>
        <w:gridCol w:w="3240"/>
        <w:gridCol w:w="1152"/>
        <w:gridCol w:w="936"/>
        <w:gridCol w:w="936"/>
        <w:gridCol w:w="936"/>
        <w:gridCol w:w="936"/>
        <w:gridCol w:w="1224"/>
      </w:tblGrid>
      <w:tr>
        <w:trPr>
          <w:tblHeader w:val="true"/>
        </w:trPr>
        <w:tc>
          <w:tcPr>
            <w:tcW w:type="dxa" w:w="3240"/>
            <w:tcMar>
              <w:top w:w="90" w:type="dxa"/>
              <w:start w:w="110" w:type="dxa"/>
              <w:bottom w:w="90" w:type="dxa"/>
              <w:end w:w="110" w:type="dxa"/>
            </w:tcMar>
            <w:vAlign w:val="center"/>
            <w:shd w:fill="156082"/>
          </w:tcPr>
          <w:p>
            <w:pPr>
              <w:spacing w:before="0" w:after="0" w:line="240" w:lineRule="auto"/>
            </w:pPr>
            <w:r>
              <w:rPr>
                <w:rFonts w:ascii="Aptos" w:hAnsi="Aptos"/>
                <w:b/>
                <w:color w:val="FFFFFF"/>
                <w:sz w:val="14"/>
              </w:rPr>
              <w:t>Model</w:t>
            </w:r>
          </w:p>
        </w:tc>
        <w:tc>
          <w:tcPr>
            <w:tcW w:type="dxa" w:w="1152"/>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Family</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Max p</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LB 12</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LB 24</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LB 36</w:t>
            </w:r>
          </w:p>
        </w:tc>
        <w:tc>
          <w:tcPr>
            <w:tcW w:type="dxa" w:w="1224"/>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Result</w:t>
            </w:r>
          </w:p>
        </w:tc>
      </w:tr>
      <w:tr>
        <w:tc>
          <w:tcPr>
            <w:tcW w:type="dxa" w:w="3240"/>
            <w:tcMar>
              <w:top w:w="90" w:type="dxa"/>
              <w:start w:w="110" w:type="dxa"/>
              <w:bottom w:w="90" w:type="dxa"/>
              <w:end w:w="110" w:type="dxa"/>
            </w:tcMar>
            <w:vAlign w:val="center"/>
          </w:tcPr>
          <w:p>
            <w:pPr>
              <w:spacing w:before="0" w:after="0" w:line="240" w:lineRule="auto"/>
            </w:pPr>
            <w:r>
              <w:rPr>
                <w:rFonts w:ascii="Aptos" w:hAnsi="Aptos"/>
                <w:sz w:val="14"/>
              </w:rPr>
              <w:t>SARIMA(2,0,0) x (0,1,1)[12] + t</w:t>
            </w:r>
          </w:p>
        </w:tc>
        <w:tc>
          <w:tcPr>
            <w:tcW w:type="dxa" w:w="1152"/>
            <w:tcMar>
              <w:top w:w="90" w:type="dxa"/>
              <w:start w:w="110" w:type="dxa"/>
              <w:bottom w:w="90" w:type="dxa"/>
              <w:end w:w="110" w:type="dxa"/>
            </w:tcMar>
            <w:vAlign w:val="center"/>
          </w:tcPr>
          <w:p>
            <w:pPr>
              <w:spacing w:before="0" w:after="0" w:line="240" w:lineRule="auto"/>
              <w:jc w:val="center"/>
            </w:pPr>
            <w:r>
              <w:rPr>
                <w:rFonts w:ascii="Aptos" w:hAnsi="Aptos"/>
                <w:sz w:val="14"/>
              </w:rPr>
              <w:t>d=0, D=1</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&lt; .001</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.002</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&lt; .001</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&lt; .001</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Excluded</w:t>
            </w:r>
          </w:p>
        </w:tc>
      </w:tr>
      <w:tr>
        <w:tc>
          <w:tcPr>
            <w:tcW w:type="dxa" w:w="3240"/>
            <w:tcMar>
              <w:top w:w="90" w:type="dxa"/>
              <w:start w:w="110" w:type="dxa"/>
              <w:bottom w:w="90" w:type="dxa"/>
              <w:end w:w="110" w:type="dxa"/>
            </w:tcMar>
            <w:vAlign w:val="center"/>
            <w:shd w:fill="F3F6F8"/>
          </w:tcPr>
          <w:p>
            <w:pPr>
              <w:spacing w:before="0" w:after="0" w:line="240" w:lineRule="auto"/>
            </w:pPr>
            <w:r>
              <w:rPr>
                <w:rFonts w:ascii="Aptos" w:hAnsi="Aptos"/>
                <w:sz w:val="14"/>
              </w:rPr>
              <w:t>SARIMA(3,0,0) x (0,1,1)[12] + t</w:t>
            </w:r>
          </w:p>
        </w:tc>
        <w:tc>
          <w:tcPr>
            <w:tcW w:type="dxa" w:w="1152"/>
            <w:tcMar>
              <w:top w:w="90" w:type="dxa"/>
              <w:start w:w="110" w:type="dxa"/>
              <w:bottom w:w="90" w:type="dxa"/>
              <w:end w:w="110" w:type="dxa"/>
            </w:tcMar>
            <w:vAlign w:val="center"/>
            <w:shd w:fill="F3F6F8"/>
          </w:tcPr>
          <w:p>
            <w:pPr>
              <w:spacing w:before="0" w:after="0" w:line="240" w:lineRule="auto"/>
              <w:jc w:val="center"/>
            </w:pPr>
            <w:r>
              <w:rPr>
                <w:rFonts w:ascii="Aptos" w:hAnsi="Aptos"/>
                <w:sz w:val="14"/>
              </w:rPr>
              <w:t>d=0, D=1</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.024</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.091</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.048</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.085</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Excluded</w:t>
            </w:r>
          </w:p>
        </w:tc>
      </w:tr>
      <w:tr>
        <w:tc>
          <w:tcPr>
            <w:tcW w:type="dxa" w:w="3240"/>
            <w:tcMar>
              <w:top w:w="90" w:type="dxa"/>
              <w:start w:w="110" w:type="dxa"/>
              <w:bottom w:w="90" w:type="dxa"/>
              <w:end w:w="110" w:type="dxa"/>
            </w:tcMar>
            <w:vAlign w:val="center"/>
          </w:tcPr>
          <w:p>
            <w:pPr>
              <w:spacing w:before="0" w:after="0" w:line="240" w:lineRule="auto"/>
            </w:pPr>
            <w:r>
              <w:rPr>
                <w:rFonts w:ascii="Aptos" w:hAnsi="Aptos"/>
                <w:sz w:val="14"/>
              </w:rPr>
              <w:t>SARIMA(2,0,1) x (0,1,1)[12] + t</w:t>
            </w:r>
          </w:p>
        </w:tc>
        <w:tc>
          <w:tcPr>
            <w:tcW w:type="dxa" w:w="1152"/>
            <w:tcMar>
              <w:top w:w="90" w:type="dxa"/>
              <w:start w:w="110" w:type="dxa"/>
              <w:bottom w:w="90" w:type="dxa"/>
              <w:end w:w="110" w:type="dxa"/>
            </w:tcMar>
            <w:vAlign w:val="center"/>
          </w:tcPr>
          <w:p>
            <w:pPr>
              <w:spacing w:before="0" w:after="0" w:line="240" w:lineRule="auto"/>
              <w:jc w:val="center"/>
            </w:pPr>
            <w:r>
              <w:rPr>
                <w:rFonts w:ascii="Aptos" w:hAnsi="Aptos"/>
                <w:sz w:val="14"/>
              </w:rPr>
              <w:t>d=0, D=1</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.022</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.068</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.037</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.069</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Excluded</w:t>
            </w:r>
          </w:p>
        </w:tc>
      </w:tr>
      <w:tr>
        <w:tc>
          <w:tcPr>
            <w:tcW w:type="dxa" w:w="3240"/>
            <w:tcMar>
              <w:top w:w="90" w:type="dxa"/>
              <w:start w:w="110" w:type="dxa"/>
              <w:bottom w:w="90" w:type="dxa"/>
              <w:end w:w="110" w:type="dxa"/>
            </w:tcMar>
            <w:vAlign w:val="center"/>
            <w:shd w:fill="F3F6F8"/>
          </w:tcPr>
          <w:p>
            <w:pPr>
              <w:spacing w:before="0" w:after="0" w:line="240" w:lineRule="auto"/>
            </w:pPr>
            <w:r>
              <w:rPr>
                <w:rFonts w:ascii="Aptos" w:hAnsi="Aptos"/>
                <w:sz w:val="14"/>
              </w:rPr>
              <w:t>SARIMA(1,1,0) x (1,0,0)[12]</w:t>
            </w:r>
          </w:p>
        </w:tc>
        <w:tc>
          <w:tcPr>
            <w:tcW w:type="dxa" w:w="1152"/>
            <w:tcMar>
              <w:top w:w="90" w:type="dxa"/>
              <w:start w:w="110" w:type="dxa"/>
              <w:bottom w:w="90" w:type="dxa"/>
              <w:end w:w="110" w:type="dxa"/>
            </w:tcMar>
            <w:vAlign w:val="center"/>
            <w:shd w:fill="F3F6F8"/>
          </w:tcPr>
          <w:p>
            <w:pPr>
              <w:spacing w:before="0" w:after="0" w:line="240" w:lineRule="auto"/>
              <w:jc w:val="center"/>
            </w:pPr>
            <w:r>
              <w:rPr>
                <w:rFonts w:ascii="Aptos" w:hAnsi="Aptos"/>
                <w:sz w:val="14"/>
              </w:rPr>
              <w:t>d=1, D=0</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&lt; .001</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.007</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.039</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&lt; .001</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Excluded</w:t>
            </w:r>
          </w:p>
        </w:tc>
      </w:tr>
      <w:tr>
        <w:tc>
          <w:tcPr>
            <w:tcW w:type="dxa" w:w="3240"/>
            <w:tcMar>
              <w:top w:w="90" w:type="dxa"/>
              <w:start w:w="110" w:type="dxa"/>
              <w:bottom w:w="90" w:type="dxa"/>
              <w:end w:w="110" w:type="dxa"/>
            </w:tcMar>
            <w:vAlign w:val="center"/>
          </w:tcPr>
          <w:p>
            <w:pPr>
              <w:spacing w:before="0" w:after="0" w:line="240" w:lineRule="auto"/>
            </w:pPr>
            <w:r>
              <w:rPr>
                <w:rFonts w:ascii="Aptos" w:hAnsi="Aptos"/>
                <w:sz w:val="14"/>
              </w:rPr>
              <w:t>SARIMA(2,1,0) x (1,0,0)[12]</w:t>
            </w:r>
          </w:p>
        </w:tc>
        <w:tc>
          <w:tcPr>
            <w:tcW w:type="dxa" w:w="1152"/>
            <w:tcMar>
              <w:top w:w="90" w:type="dxa"/>
              <w:start w:w="110" w:type="dxa"/>
              <w:bottom w:w="90" w:type="dxa"/>
              <w:end w:w="110" w:type="dxa"/>
            </w:tcMar>
            <w:vAlign w:val="center"/>
          </w:tcPr>
          <w:p>
            <w:pPr>
              <w:spacing w:before="0" w:after="0" w:line="240" w:lineRule="auto"/>
              <w:jc w:val="center"/>
            </w:pPr>
            <w:r>
              <w:rPr>
                <w:rFonts w:ascii="Aptos" w:hAnsi="Aptos"/>
                <w:sz w:val="14"/>
              </w:rPr>
              <w:t>d=1, D=0</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.001</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.197</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.447</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.132</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Eligible</w:t>
            </w:r>
          </w:p>
        </w:tc>
      </w:tr>
      <w:tr>
        <w:tc>
          <w:tcPr>
            <w:tcW w:type="dxa" w:w="3240"/>
            <w:tcMar>
              <w:top w:w="90" w:type="dxa"/>
              <w:start w:w="110" w:type="dxa"/>
              <w:bottom w:w="90" w:type="dxa"/>
              <w:end w:w="110" w:type="dxa"/>
            </w:tcMar>
            <w:vAlign w:val="center"/>
            <w:shd w:fill="F3F6F8"/>
          </w:tcPr>
          <w:p>
            <w:pPr>
              <w:spacing w:before="0" w:after="0" w:line="240" w:lineRule="auto"/>
            </w:pPr>
            <w:r>
              <w:rPr>
                <w:rFonts w:ascii="Aptos" w:hAnsi="Aptos"/>
                <w:sz w:val="14"/>
              </w:rPr>
              <w:t>SARIMA(3,1,0) x (1,0,0)[12]</w:t>
            </w:r>
          </w:p>
        </w:tc>
        <w:tc>
          <w:tcPr>
            <w:tcW w:type="dxa" w:w="1152"/>
            <w:tcMar>
              <w:top w:w="90" w:type="dxa"/>
              <w:start w:w="110" w:type="dxa"/>
              <w:bottom w:w="90" w:type="dxa"/>
              <w:end w:w="110" w:type="dxa"/>
            </w:tcMar>
            <w:vAlign w:val="center"/>
            <w:shd w:fill="F3F6F8"/>
          </w:tcPr>
          <w:p>
            <w:pPr>
              <w:spacing w:before="0" w:after="0" w:line="240" w:lineRule="auto"/>
              <w:jc w:val="center"/>
            </w:pPr>
            <w:r>
              <w:rPr>
                <w:rFonts w:ascii="Aptos" w:hAnsi="Aptos"/>
                <w:sz w:val="14"/>
              </w:rPr>
              <w:t>d=1, D=0</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.163</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.198</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.451</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.220</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Excluded</w:t>
            </w:r>
          </w:p>
        </w:tc>
      </w:tr>
      <w:tr>
        <w:tc>
          <w:tcPr>
            <w:tcW w:type="dxa" w:w="3240"/>
            <w:tcMar>
              <w:top w:w="90" w:type="dxa"/>
              <w:start w:w="110" w:type="dxa"/>
              <w:bottom w:w="90" w:type="dxa"/>
              <w:end w:w="110" w:type="dxa"/>
            </w:tcMar>
            <w:vAlign w:val="center"/>
          </w:tcPr>
          <w:p>
            <w:pPr>
              <w:spacing w:before="0" w:after="0" w:line="240" w:lineRule="auto"/>
            </w:pPr>
            <w:r>
              <w:rPr>
                <w:rFonts w:ascii="Aptos" w:hAnsi="Aptos"/>
                <w:sz w:val="14"/>
              </w:rPr>
              <w:t>SARIMA(2,1,1) x (1,0,0)[12]</w:t>
            </w:r>
          </w:p>
        </w:tc>
        <w:tc>
          <w:tcPr>
            <w:tcW w:type="dxa" w:w="1152"/>
            <w:tcMar>
              <w:top w:w="90" w:type="dxa"/>
              <w:start w:w="110" w:type="dxa"/>
              <w:bottom w:w="90" w:type="dxa"/>
              <w:end w:w="110" w:type="dxa"/>
            </w:tcMar>
            <w:vAlign w:val="center"/>
          </w:tcPr>
          <w:p>
            <w:pPr>
              <w:spacing w:before="0" w:after="0" w:line="240" w:lineRule="auto"/>
              <w:jc w:val="center"/>
            </w:pPr>
            <w:r>
              <w:rPr>
                <w:rFonts w:ascii="Aptos" w:hAnsi="Aptos"/>
                <w:sz w:val="14"/>
              </w:rPr>
              <w:t>d=1, D=0</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.288</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.163</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.395</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4"/>
              </w:rPr>
              <w:t>.179</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Excluded</w:t>
            </w:r>
          </w:p>
        </w:tc>
      </w:tr>
      <w:tr>
        <w:tc>
          <w:tcPr>
            <w:tcW w:type="dxa" w:w="3240"/>
            <w:tcMar>
              <w:top w:w="90" w:type="dxa"/>
              <w:start w:w="110" w:type="dxa"/>
              <w:bottom w:w="90" w:type="dxa"/>
              <w:end w:w="110" w:type="dxa"/>
            </w:tcMar>
            <w:vAlign w:val="center"/>
            <w:shd w:fill="F3F6F8"/>
          </w:tcPr>
          <w:p>
            <w:pPr>
              <w:spacing w:before="0" w:after="0" w:line="240" w:lineRule="auto"/>
            </w:pPr>
            <w:r>
              <w:rPr>
                <w:rFonts w:ascii="Aptos" w:hAnsi="Aptos"/>
                <w:sz w:val="14"/>
              </w:rPr>
              <w:t>SARIMA(2,1,0) x (1,0,1)[12]</w:t>
            </w:r>
          </w:p>
        </w:tc>
        <w:tc>
          <w:tcPr>
            <w:tcW w:type="dxa" w:w="1152"/>
            <w:tcMar>
              <w:top w:w="90" w:type="dxa"/>
              <w:start w:w="110" w:type="dxa"/>
              <w:bottom w:w="90" w:type="dxa"/>
              <w:end w:w="110" w:type="dxa"/>
            </w:tcMar>
            <w:vAlign w:val="center"/>
            <w:shd w:fill="F3F6F8"/>
          </w:tcPr>
          <w:p>
            <w:pPr>
              <w:spacing w:before="0" w:after="0" w:line="240" w:lineRule="auto"/>
              <w:jc w:val="center"/>
            </w:pPr>
            <w:r>
              <w:rPr>
                <w:rFonts w:ascii="Aptos" w:hAnsi="Aptos"/>
                <w:sz w:val="14"/>
              </w:rPr>
              <w:t>d=1, D=0</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.003</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.219</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.129</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4"/>
              </w:rPr>
              <w:t>.098</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Eligible</w:t>
            </w:r>
          </w:p>
        </w:tc>
      </w:tr>
    </w:tbl>
    <w:p>
      <w:pPr>
        <w:spacing w:after="40"/>
      </w:pPr>
    </w:p>
    <w:p>
      <w:pPr>
        <w:spacing w:after="120"/>
        <w:jc w:val="both"/>
      </w:pPr>
      <w:r>
        <w:t>The lower-order SARIMA(1,1,0) x (1,0,0)[12] model and all three seasonal-difference candidates retained residual dependence. The SARIMA(3,1,0) x (1,0,0)[12] and SARIMA(2,1,1) x (1,0,0)[12] models passed the residual checks, but the additional AR(3) and MA(1) coefficients were not significant. The two AR(2)-based ordinary-difference models were therefore the only eligible finalists.</w:t>
      </w:r>
    </w:p>
    <w:p>
      <w:pPr>
        <w:spacing w:after="120"/>
        <w:jc w:val="both"/>
      </w:pPr>
      <w:r>
        <w:t>Drift was evaluated as a nested addition to both finalists. Its p-values were .233 for SARIMA(2,1,0) x (1,0,0)[12] and .456 for SARIMA(2,1,0) x (1,0,1)[12]. Drift was not retained in either specification.</w:t>
      </w:r>
    </w:p>
    <w:p>
      <w:pPr>
        <w:pStyle w:val="Heading3"/>
        <w:keepNext/>
      </w:pPr>
      <w:r>
        <w:t>Expanding-window validation</w:t>
      </w:r>
    </w:p>
    <w:p>
      <w:pPr>
        <w:spacing w:after="120"/>
        <w:jc w:val="both"/>
      </w:pPr>
      <w:r>
        <w:t>Forecast accuracy was measured with an expanding window beginning at 120 observations. Each model produced forecasts one through 24 months ahead at 37 successive origins. RMSE and MAE were calculated at horizons 1, 12, and 24 and across all 888 forecast errors. Seasonal-naive and random-walk-with-drift forecasts were included as practical benchmarks.</w:t>
      </w:r>
    </w:p>
    <w:p>
      <w:pPr>
        <w:keepNext/>
        <w:spacing w:before="160" w:after="60"/>
      </w:pPr>
      <w:r>
        <w:rPr>
          <w:b/>
          <w:color w:val="156082"/>
        </w:rPr>
        <w:t xml:space="preserve">Table 3. </w:t>
      </w:r>
      <w:r>
        <w:t>Expanding-window forecast accuracy for candidates and benchmarks.</w:t>
      </w:r>
    </w:p>
    <w:tbl>
      <w:tblPr>
        <w:tblW w:type="dxa" w:w="9360"/>
        <w:jc w:val="left"/>
        <w:tblLayout w:type="fixed"/>
        <w:tblLook w:firstColumn="1" w:firstRow="1" w:lastColumn="0" w:lastRow="0" w:noHBand="0" w:noVBand="1" w:val="04A0"/>
        <w:tblInd w:w="120" w:type="dxa"/>
        <w:tblBorders>
          <w:top w:val="single" w:sz="4" w:space="0" w:color="B4C6D7"/>
          <w:start w:val="single" w:sz="4" w:space="0" w:color="B4C6D7"/>
          <w:bottom w:val="single" w:sz="4" w:space="0" w:color="B4C6D7"/>
          <w:end w:val="single" w:sz="4" w:space="0" w:color="B4C6D7"/>
          <w:insideH w:val="single" w:sz="4" w:space="0" w:color="B4C6D7"/>
          <w:insideV w:val="single" w:sz="4" w:space="0" w:color="B4C6D7"/>
        </w:tblBorders>
      </w:tblPr>
      <w:tblGrid>
        <w:gridCol w:w="3024"/>
        <w:gridCol w:w="1008"/>
        <w:gridCol w:w="1008"/>
        <w:gridCol w:w="1008"/>
        <w:gridCol w:w="1080"/>
        <w:gridCol w:w="1008"/>
        <w:gridCol w:w="1224"/>
      </w:tblGrid>
      <w:tr>
        <w:trPr>
          <w:tblHeader w:val="true"/>
        </w:trPr>
        <w:tc>
          <w:tcPr>
            <w:tcW w:type="dxa" w:w="3024"/>
            <w:tcMar>
              <w:top w:w="90" w:type="dxa"/>
              <w:start w:w="110" w:type="dxa"/>
              <w:bottom w:w="90" w:type="dxa"/>
              <w:end w:w="110" w:type="dxa"/>
            </w:tcMar>
            <w:vAlign w:val="center"/>
            <w:shd w:fill="156082"/>
          </w:tcPr>
          <w:p>
            <w:pPr>
              <w:spacing w:before="0" w:after="0" w:line="240" w:lineRule="auto"/>
            </w:pPr>
            <w:r>
              <w:rPr>
                <w:rFonts w:ascii="Aptos" w:hAnsi="Aptos"/>
                <w:b/>
                <w:color w:val="FFFFFF"/>
                <w:sz w:val="14"/>
              </w:rPr>
              <w:t>Model</w:t>
            </w:r>
          </w:p>
        </w:tc>
        <w:tc>
          <w:tcPr>
            <w:tcW w:type="dxa" w:w="1008"/>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RMSE 1</w:t>
            </w:r>
          </w:p>
        </w:tc>
        <w:tc>
          <w:tcPr>
            <w:tcW w:type="dxa" w:w="1008"/>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RMSE 12</w:t>
            </w:r>
          </w:p>
        </w:tc>
        <w:tc>
          <w:tcPr>
            <w:tcW w:type="dxa" w:w="1008"/>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RMSE 24</w:t>
            </w:r>
          </w:p>
        </w:tc>
        <w:tc>
          <w:tcPr>
            <w:tcW w:type="dxa" w:w="108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RMSE all</w:t>
            </w:r>
          </w:p>
        </w:tc>
        <w:tc>
          <w:tcPr>
            <w:tcW w:type="dxa" w:w="1008"/>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MAE all</w:t>
            </w:r>
          </w:p>
        </w:tc>
        <w:tc>
          <w:tcPr>
            <w:tcW w:type="dxa" w:w="1224"/>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4"/>
              </w:rPr>
              <w:t>Status</w:t>
            </w:r>
          </w:p>
        </w:tc>
      </w:tr>
      <w:tr>
        <w:tc>
          <w:tcPr>
            <w:tcW w:type="dxa" w:w="3024"/>
            <w:tcMar>
              <w:top w:w="90" w:type="dxa"/>
              <w:start w:w="110" w:type="dxa"/>
              <w:bottom w:w="90" w:type="dxa"/>
              <w:end w:w="110" w:type="dxa"/>
            </w:tcMar>
            <w:vAlign w:val="center"/>
          </w:tcPr>
          <w:p>
            <w:pPr>
              <w:spacing w:before="0" w:after="0" w:line="240" w:lineRule="auto"/>
            </w:pPr>
            <w:r>
              <w:rPr>
                <w:rFonts w:ascii="Aptos" w:hAnsi="Aptos"/>
                <w:sz w:val="14"/>
              </w:rPr>
              <w:t>SARIMA(2,0,0) x (0,1,1)[12] + t</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0.546</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7.873</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14.869</w:t>
            </w:r>
          </w:p>
        </w:tc>
        <w:tc>
          <w:tcPr>
            <w:tcW w:type="dxa" w:w="1080"/>
            <w:tcMar>
              <w:top w:w="90" w:type="dxa"/>
              <w:start w:w="110" w:type="dxa"/>
              <w:bottom w:w="90" w:type="dxa"/>
              <w:end w:w="110" w:type="dxa"/>
            </w:tcMar>
            <w:vAlign w:val="center"/>
          </w:tcPr>
          <w:p>
            <w:pPr>
              <w:spacing w:before="0" w:after="0" w:line="240" w:lineRule="auto"/>
              <w:jc w:val="center"/>
            </w:pPr>
            <w:r>
              <w:rPr>
                <w:rFonts w:ascii="Aptos" w:hAnsi="Aptos"/>
                <w:sz w:val="14"/>
              </w:rPr>
              <w:t>8.683</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6.111</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Screened out</w:t>
            </w:r>
          </w:p>
        </w:tc>
      </w:tr>
      <w:tr>
        <w:tc>
          <w:tcPr>
            <w:tcW w:type="dxa" w:w="3024"/>
            <w:tcMar>
              <w:top w:w="90" w:type="dxa"/>
              <w:start w:w="110" w:type="dxa"/>
              <w:bottom w:w="90" w:type="dxa"/>
              <w:end w:w="110" w:type="dxa"/>
            </w:tcMar>
            <w:vAlign w:val="center"/>
            <w:shd w:fill="F3F6F8"/>
          </w:tcPr>
          <w:p>
            <w:pPr>
              <w:spacing w:before="0" w:after="0" w:line="240" w:lineRule="auto"/>
            </w:pPr>
            <w:r>
              <w:rPr>
                <w:rFonts w:ascii="Aptos" w:hAnsi="Aptos"/>
                <w:sz w:val="14"/>
              </w:rPr>
              <w:t>SARIMA(3,0,0) x (0,1,1)[12] + t</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0.618</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7.899</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11.432</w:t>
            </w:r>
          </w:p>
        </w:tc>
        <w:tc>
          <w:tcPr>
            <w:tcW w:type="dxa" w:w="1080"/>
            <w:tcMar>
              <w:top w:w="90" w:type="dxa"/>
              <w:start w:w="110" w:type="dxa"/>
              <w:bottom w:w="90" w:type="dxa"/>
              <w:end w:w="110" w:type="dxa"/>
            </w:tcMar>
            <w:vAlign w:val="center"/>
            <w:shd w:fill="F3F6F8"/>
          </w:tcPr>
          <w:p>
            <w:pPr>
              <w:spacing w:before="0" w:after="0" w:line="240" w:lineRule="auto"/>
              <w:jc w:val="center"/>
            </w:pPr>
            <w:r>
              <w:rPr>
                <w:rFonts w:ascii="Aptos" w:hAnsi="Aptos"/>
                <w:sz w:val="14"/>
              </w:rPr>
              <w:t>8.093</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6.737</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Screened out</w:t>
            </w:r>
          </w:p>
        </w:tc>
      </w:tr>
      <w:tr>
        <w:tc>
          <w:tcPr>
            <w:tcW w:type="dxa" w:w="3024"/>
            <w:tcMar>
              <w:top w:w="90" w:type="dxa"/>
              <w:start w:w="110" w:type="dxa"/>
              <w:bottom w:w="90" w:type="dxa"/>
              <w:end w:w="110" w:type="dxa"/>
            </w:tcMar>
            <w:vAlign w:val="center"/>
          </w:tcPr>
          <w:p>
            <w:pPr>
              <w:spacing w:before="0" w:after="0" w:line="240" w:lineRule="auto"/>
            </w:pPr>
            <w:r>
              <w:rPr>
                <w:rFonts w:ascii="Aptos" w:hAnsi="Aptos"/>
                <w:sz w:val="14"/>
              </w:rPr>
              <w:t>SARIMA(2,0,1) x (0,1,1)[12] + t</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0.569</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7.124</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9.956</w:t>
            </w:r>
          </w:p>
        </w:tc>
        <w:tc>
          <w:tcPr>
            <w:tcW w:type="dxa" w:w="1080"/>
            <w:tcMar>
              <w:top w:w="90" w:type="dxa"/>
              <w:start w:w="110" w:type="dxa"/>
              <w:bottom w:w="90" w:type="dxa"/>
              <w:end w:w="110" w:type="dxa"/>
            </w:tcMar>
            <w:vAlign w:val="center"/>
          </w:tcPr>
          <w:p>
            <w:pPr>
              <w:spacing w:before="0" w:after="0" w:line="240" w:lineRule="auto"/>
              <w:jc w:val="center"/>
            </w:pPr>
            <w:r>
              <w:rPr>
                <w:rFonts w:ascii="Aptos" w:hAnsi="Aptos"/>
                <w:sz w:val="14"/>
              </w:rPr>
              <w:t>7.213</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6.160</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Screened out</w:t>
            </w:r>
          </w:p>
        </w:tc>
      </w:tr>
      <w:tr>
        <w:tc>
          <w:tcPr>
            <w:tcW w:type="dxa" w:w="3024"/>
            <w:tcMar>
              <w:top w:w="90" w:type="dxa"/>
              <w:start w:w="110" w:type="dxa"/>
              <w:bottom w:w="90" w:type="dxa"/>
              <w:end w:w="110" w:type="dxa"/>
            </w:tcMar>
            <w:vAlign w:val="center"/>
            <w:shd w:fill="F3F6F8"/>
          </w:tcPr>
          <w:p>
            <w:pPr>
              <w:spacing w:before="0" w:after="0" w:line="240" w:lineRule="auto"/>
            </w:pPr>
            <w:r>
              <w:rPr>
                <w:rFonts w:ascii="Aptos" w:hAnsi="Aptos"/>
                <w:sz w:val="14"/>
              </w:rPr>
              <w:t>SARIMA(1,1,0) x (1,0,0)[12]</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0.494</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5.385</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9.318</w:t>
            </w:r>
          </w:p>
        </w:tc>
        <w:tc>
          <w:tcPr>
            <w:tcW w:type="dxa" w:w="1080"/>
            <w:tcMar>
              <w:top w:w="90" w:type="dxa"/>
              <w:start w:w="110" w:type="dxa"/>
              <w:bottom w:w="90" w:type="dxa"/>
              <w:end w:w="110" w:type="dxa"/>
            </w:tcMar>
            <w:vAlign w:val="center"/>
            <w:shd w:fill="F3F6F8"/>
          </w:tcPr>
          <w:p>
            <w:pPr>
              <w:spacing w:before="0" w:after="0" w:line="240" w:lineRule="auto"/>
              <w:jc w:val="center"/>
            </w:pPr>
            <w:r>
              <w:rPr>
                <w:rFonts w:ascii="Aptos" w:hAnsi="Aptos"/>
                <w:sz w:val="14"/>
              </w:rPr>
              <w:t>6.078</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4.832</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Screened out</w:t>
            </w:r>
          </w:p>
        </w:tc>
      </w:tr>
      <w:tr>
        <w:tc>
          <w:tcPr>
            <w:tcW w:type="dxa" w:w="3024"/>
            <w:tcMar>
              <w:top w:w="90" w:type="dxa"/>
              <w:start w:w="110" w:type="dxa"/>
              <w:bottom w:w="90" w:type="dxa"/>
              <w:end w:w="110" w:type="dxa"/>
            </w:tcMar>
            <w:vAlign w:val="center"/>
          </w:tcPr>
          <w:p>
            <w:pPr>
              <w:spacing w:before="0" w:after="0" w:line="240" w:lineRule="auto"/>
            </w:pPr>
            <w:r>
              <w:rPr>
                <w:rFonts w:ascii="Aptos" w:hAnsi="Aptos"/>
                <w:sz w:val="14"/>
              </w:rPr>
              <w:t>SARIMA(2,1,0) x (1,0,0)[12]</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0.518</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5.694</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10.167</w:t>
            </w:r>
          </w:p>
        </w:tc>
        <w:tc>
          <w:tcPr>
            <w:tcW w:type="dxa" w:w="1080"/>
            <w:tcMar>
              <w:top w:w="90" w:type="dxa"/>
              <w:start w:w="110" w:type="dxa"/>
              <w:bottom w:w="90" w:type="dxa"/>
              <w:end w:w="110" w:type="dxa"/>
            </w:tcMar>
            <w:vAlign w:val="center"/>
          </w:tcPr>
          <w:p>
            <w:pPr>
              <w:spacing w:before="0" w:after="0" w:line="240" w:lineRule="auto"/>
              <w:jc w:val="center"/>
            </w:pPr>
            <w:r>
              <w:rPr>
                <w:rFonts w:ascii="Aptos" w:hAnsi="Aptos"/>
                <w:sz w:val="14"/>
              </w:rPr>
              <w:t>6.576</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5.307</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Finalist</w:t>
            </w:r>
          </w:p>
        </w:tc>
      </w:tr>
      <w:tr>
        <w:tc>
          <w:tcPr>
            <w:tcW w:type="dxa" w:w="3024"/>
            <w:tcMar>
              <w:top w:w="90" w:type="dxa"/>
              <w:start w:w="110" w:type="dxa"/>
              <w:bottom w:w="90" w:type="dxa"/>
              <w:end w:w="110" w:type="dxa"/>
            </w:tcMar>
            <w:vAlign w:val="center"/>
            <w:shd w:fill="F3F6F8"/>
          </w:tcPr>
          <w:p>
            <w:pPr>
              <w:spacing w:before="0" w:after="0" w:line="240" w:lineRule="auto"/>
            </w:pPr>
            <w:r>
              <w:rPr>
                <w:rFonts w:ascii="Aptos" w:hAnsi="Aptos"/>
                <w:sz w:val="14"/>
              </w:rPr>
              <w:t>SARIMA(3,1,0) x (1,0,0)[12]</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0.511</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5.781</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10.336</w:t>
            </w:r>
          </w:p>
        </w:tc>
        <w:tc>
          <w:tcPr>
            <w:tcW w:type="dxa" w:w="1080"/>
            <w:tcMar>
              <w:top w:w="90" w:type="dxa"/>
              <w:start w:w="110" w:type="dxa"/>
              <w:bottom w:w="90" w:type="dxa"/>
              <w:end w:w="110" w:type="dxa"/>
            </w:tcMar>
            <w:vAlign w:val="center"/>
            <w:shd w:fill="F3F6F8"/>
          </w:tcPr>
          <w:p>
            <w:pPr>
              <w:spacing w:before="0" w:after="0" w:line="240" w:lineRule="auto"/>
              <w:jc w:val="center"/>
            </w:pPr>
            <w:r>
              <w:rPr>
                <w:rFonts w:ascii="Aptos" w:hAnsi="Aptos"/>
                <w:sz w:val="14"/>
              </w:rPr>
              <w:t>6.686</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5.417</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Screened out</w:t>
            </w:r>
          </w:p>
        </w:tc>
      </w:tr>
      <w:tr>
        <w:tc>
          <w:tcPr>
            <w:tcW w:type="dxa" w:w="3024"/>
            <w:tcMar>
              <w:top w:w="90" w:type="dxa"/>
              <w:start w:w="110" w:type="dxa"/>
              <w:bottom w:w="90" w:type="dxa"/>
              <w:end w:w="110" w:type="dxa"/>
            </w:tcMar>
            <w:vAlign w:val="center"/>
          </w:tcPr>
          <w:p>
            <w:pPr>
              <w:spacing w:before="0" w:after="0" w:line="240" w:lineRule="auto"/>
            </w:pPr>
            <w:r>
              <w:rPr>
                <w:rFonts w:ascii="Aptos" w:hAnsi="Aptos"/>
                <w:sz w:val="14"/>
              </w:rPr>
              <w:t>SARIMA(2,1,1) x (1,0,0)[12]</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0.514</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5.761</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10.292</w:t>
            </w:r>
          </w:p>
        </w:tc>
        <w:tc>
          <w:tcPr>
            <w:tcW w:type="dxa" w:w="1080"/>
            <w:tcMar>
              <w:top w:w="90" w:type="dxa"/>
              <w:start w:w="110" w:type="dxa"/>
              <w:bottom w:w="90" w:type="dxa"/>
              <w:end w:w="110" w:type="dxa"/>
            </w:tcMar>
            <w:vAlign w:val="center"/>
          </w:tcPr>
          <w:p>
            <w:pPr>
              <w:spacing w:before="0" w:after="0" w:line="240" w:lineRule="auto"/>
              <w:jc w:val="center"/>
            </w:pPr>
            <w:r>
              <w:rPr>
                <w:rFonts w:ascii="Aptos" w:hAnsi="Aptos"/>
                <w:sz w:val="14"/>
              </w:rPr>
              <w:t>6.658</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5.388</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Screened out</w:t>
            </w:r>
          </w:p>
        </w:tc>
      </w:tr>
      <w:tr>
        <w:tc>
          <w:tcPr>
            <w:tcW w:type="dxa" w:w="3024"/>
            <w:tcMar>
              <w:top w:w="90" w:type="dxa"/>
              <w:start w:w="110" w:type="dxa"/>
              <w:bottom w:w="90" w:type="dxa"/>
              <w:end w:w="110" w:type="dxa"/>
            </w:tcMar>
            <w:vAlign w:val="center"/>
            <w:shd w:fill="F3F6F8"/>
          </w:tcPr>
          <w:p>
            <w:pPr>
              <w:spacing w:before="0" w:after="0" w:line="240" w:lineRule="auto"/>
            </w:pPr>
            <w:r>
              <w:rPr>
                <w:rFonts w:ascii="Aptos" w:hAnsi="Aptos"/>
                <w:sz w:val="14"/>
              </w:rPr>
              <w:t>SARIMA(2,1,0) x (1,0,1)[12]</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0.534</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5.184</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8.441</w:t>
            </w:r>
          </w:p>
        </w:tc>
        <w:tc>
          <w:tcPr>
            <w:tcW w:type="dxa" w:w="1080"/>
            <w:tcMar>
              <w:top w:w="90" w:type="dxa"/>
              <w:start w:w="110" w:type="dxa"/>
              <w:bottom w:w="90" w:type="dxa"/>
              <w:end w:w="110" w:type="dxa"/>
            </w:tcMar>
            <w:vAlign w:val="center"/>
            <w:shd w:fill="F3F6F8"/>
          </w:tcPr>
          <w:p>
            <w:pPr>
              <w:spacing w:before="0" w:after="0" w:line="240" w:lineRule="auto"/>
              <w:jc w:val="center"/>
            </w:pPr>
            <w:r>
              <w:rPr>
                <w:rFonts w:ascii="Aptos" w:hAnsi="Aptos"/>
                <w:sz w:val="14"/>
              </w:rPr>
              <w:t>5.604</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4.528</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Finalist</w:t>
            </w:r>
          </w:p>
        </w:tc>
      </w:tr>
      <w:tr>
        <w:tc>
          <w:tcPr>
            <w:tcW w:type="dxa" w:w="3024"/>
            <w:tcMar>
              <w:top w:w="90" w:type="dxa"/>
              <w:start w:w="110" w:type="dxa"/>
              <w:bottom w:w="90" w:type="dxa"/>
              <w:end w:w="110" w:type="dxa"/>
            </w:tcMar>
            <w:vAlign w:val="center"/>
          </w:tcPr>
          <w:p>
            <w:pPr>
              <w:spacing w:before="0" w:after="0" w:line="240" w:lineRule="auto"/>
            </w:pPr>
            <w:r>
              <w:rPr>
                <w:rFonts w:ascii="Aptos" w:hAnsi="Aptos"/>
                <w:sz w:val="14"/>
              </w:rPr>
              <w:t>Seasonal naive</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7.258</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7.973</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13.161</w:t>
            </w:r>
          </w:p>
        </w:tc>
        <w:tc>
          <w:tcPr>
            <w:tcW w:type="dxa" w:w="1080"/>
            <w:tcMar>
              <w:top w:w="90" w:type="dxa"/>
              <w:start w:w="110" w:type="dxa"/>
              <w:bottom w:w="90" w:type="dxa"/>
              <w:end w:w="110" w:type="dxa"/>
            </w:tcMar>
            <w:vAlign w:val="center"/>
          </w:tcPr>
          <w:p>
            <w:pPr>
              <w:spacing w:before="0" w:after="0" w:line="240" w:lineRule="auto"/>
              <w:jc w:val="center"/>
            </w:pPr>
            <w:r>
              <w:rPr>
                <w:rFonts w:ascii="Aptos" w:hAnsi="Aptos"/>
                <w:sz w:val="14"/>
              </w:rPr>
              <w:t>11.509</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4"/>
              </w:rPr>
              <w:t>10.644</w:t>
            </w:r>
          </w:p>
        </w:tc>
        <w:tc>
          <w:tcPr>
            <w:tcW w:type="dxa" w:w="1224"/>
            <w:tcMar>
              <w:top w:w="90" w:type="dxa"/>
              <w:start w:w="110" w:type="dxa"/>
              <w:bottom w:w="90" w:type="dxa"/>
              <w:end w:w="110" w:type="dxa"/>
            </w:tcMar>
            <w:vAlign w:val="center"/>
          </w:tcPr>
          <w:p>
            <w:pPr>
              <w:spacing w:before="0" w:after="0" w:line="240" w:lineRule="auto"/>
              <w:jc w:val="center"/>
            </w:pPr>
            <w:r>
              <w:rPr>
                <w:rFonts w:ascii="Aptos" w:hAnsi="Aptos"/>
                <w:sz w:val="14"/>
              </w:rPr>
              <w:t>Benchmark</w:t>
            </w:r>
          </w:p>
        </w:tc>
      </w:tr>
      <w:tr>
        <w:tc>
          <w:tcPr>
            <w:tcW w:type="dxa" w:w="3024"/>
            <w:tcMar>
              <w:top w:w="90" w:type="dxa"/>
              <w:start w:w="110" w:type="dxa"/>
              <w:bottom w:w="90" w:type="dxa"/>
              <w:end w:w="110" w:type="dxa"/>
            </w:tcMar>
            <w:vAlign w:val="center"/>
            <w:shd w:fill="F3F6F8"/>
          </w:tcPr>
          <w:p>
            <w:pPr>
              <w:spacing w:before="0" w:after="0" w:line="240" w:lineRule="auto"/>
            </w:pPr>
            <w:r>
              <w:rPr>
                <w:rFonts w:ascii="Aptos" w:hAnsi="Aptos"/>
                <w:sz w:val="14"/>
              </w:rPr>
              <w:t>Random walk with drift</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0.836</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5.319</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8.561</w:t>
            </w:r>
          </w:p>
        </w:tc>
        <w:tc>
          <w:tcPr>
            <w:tcW w:type="dxa" w:w="1080"/>
            <w:tcMar>
              <w:top w:w="90" w:type="dxa"/>
              <w:start w:w="110" w:type="dxa"/>
              <w:bottom w:w="90" w:type="dxa"/>
              <w:end w:w="110" w:type="dxa"/>
            </w:tcMar>
            <w:vAlign w:val="center"/>
            <w:shd w:fill="F3F6F8"/>
          </w:tcPr>
          <w:p>
            <w:pPr>
              <w:spacing w:before="0" w:after="0" w:line="240" w:lineRule="auto"/>
              <w:jc w:val="center"/>
            </w:pPr>
            <w:r>
              <w:rPr>
                <w:rFonts w:ascii="Aptos" w:hAnsi="Aptos"/>
                <w:sz w:val="14"/>
              </w:rPr>
              <w:t>5.898</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4"/>
              </w:rPr>
              <w:t>4.907</w:t>
            </w:r>
          </w:p>
        </w:tc>
        <w:tc>
          <w:tcPr>
            <w:tcW w:type="dxa" w:w="1224"/>
            <w:tcMar>
              <w:top w:w="90" w:type="dxa"/>
              <w:start w:w="110" w:type="dxa"/>
              <w:bottom w:w="90" w:type="dxa"/>
              <w:end w:w="110" w:type="dxa"/>
            </w:tcMar>
            <w:vAlign w:val="center"/>
            <w:shd w:fill="F3F6F8"/>
          </w:tcPr>
          <w:p>
            <w:pPr>
              <w:spacing w:before="0" w:after="0" w:line="240" w:lineRule="auto"/>
              <w:jc w:val="center"/>
            </w:pPr>
            <w:r>
              <w:rPr>
                <w:rFonts w:ascii="Aptos" w:hAnsi="Aptos"/>
                <w:sz w:val="14"/>
              </w:rPr>
              <w:t>Benchmark</w:t>
            </w:r>
          </w:p>
        </w:tc>
      </w:tr>
    </w:tbl>
    <w:p>
      <w:pPr>
        <w:spacing w:after="40"/>
      </w:pPr>
    </w:p>
    <w:p>
      <w:pPr>
        <w:spacing w:after="120"/>
        <w:jc w:val="both"/>
      </w:pPr>
      <w:r>
        <w:t>The selected model provided the best validated forecast performance among the eligible candidates, with an aggregate RMSE of 5.604 and MAE of 4.528. Its RMSE was 14.8% lower than that of the eligible runner-up and 5.0% lower than the random-walk-with-drift benchmark. The seasonal-naive benchmark performed substantially worse, with an aggregate RMSE of 11.509.</w:t>
      </w:r>
    </w:p>
    <w:p>
      <w:pPr>
        <w:pStyle w:val="Heading2"/>
        <w:keepNext/>
      </w:pPr>
      <w:r>
        <w:t>Finalist Comparison</w:t>
      </w:r>
    </w:p>
    <w:p>
      <w:pPr>
        <w:pStyle w:val="Heading3"/>
        <w:keepNext/>
      </w:pPr>
      <w:r>
        <w:t>Coefficient estimates</w:t>
      </w:r>
    </w:p>
    <w:p>
      <w:pPr>
        <w:keepNext/>
        <w:spacing w:before="160" w:after="60"/>
      </w:pPr>
      <w:r>
        <w:rPr>
          <w:b/>
          <w:color w:val="156082"/>
        </w:rPr>
        <w:t xml:space="preserve">Table 4. </w:t>
      </w:r>
      <w:r>
        <w:t>Coefficient estimates for the two eligible finalist models.</w:t>
      </w:r>
    </w:p>
    <w:tbl>
      <w:tblPr>
        <w:tblW w:type="dxa" w:w="9072"/>
        <w:jc w:val="left"/>
        <w:tblLayout w:type="fixed"/>
        <w:tblLook w:firstColumn="1" w:firstRow="1" w:lastColumn="0" w:lastRow="0" w:noHBand="0" w:noVBand="1" w:val="04A0"/>
        <w:tblInd w:w="120" w:type="dxa"/>
        <w:tblBorders>
          <w:top w:val="single" w:sz="4" w:space="0" w:color="B4C6D7"/>
          <w:start w:val="single" w:sz="4" w:space="0" w:color="B4C6D7"/>
          <w:bottom w:val="single" w:sz="4" w:space="0" w:color="B4C6D7"/>
          <w:end w:val="single" w:sz="4" w:space="0" w:color="B4C6D7"/>
          <w:insideH w:val="single" w:sz="4" w:space="0" w:color="B4C6D7"/>
          <w:insideV w:val="single" w:sz="4" w:space="0" w:color="B4C6D7"/>
        </w:tblBorders>
      </w:tblPr>
      <w:tblGrid>
        <w:gridCol w:w="1728"/>
        <w:gridCol w:w="2736"/>
        <w:gridCol w:w="936"/>
        <w:gridCol w:w="2736"/>
        <w:gridCol w:w="936"/>
      </w:tblGrid>
      <w:tr>
        <w:trPr>
          <w:tblHeader w:val="true"/>
        </w:trPr>
        <w:tc>
          <w:tcPr>
            <w:tcW w:type="dxa" w:w="1728"/>
            <w:tcMar>
              <w:top w:w="90" w:type="dxa"/>
              <w:start w:w="110" w:type="dxa"/>
              <w:bottom w:w="90" w:type="dxa"/>
              <w:end w:w="110" w:type="dxa"/>
            </w:tcMar>
            <w:vAlign w:val="center"/>
            <w:shd w:fill="156082"/>
          </w:tcPr>
          <w:p>
            <w:pPr>
              <w:spacing w:before="0" w:after="0" w:line="240" w:lineRule="auto"/>
            </w:pPr>
            <w:r>
              <w:rPr>
                <w:rFonts w:ascii="Aptos" w:hAnsi="Aptos"/>
                <w:b/>
                <w:color w:val="FFFFFF"/>
                <w:sz w:val="16"/>
              </w:rPr>
              <w:t>Parameter</w:t>
            </w:r>
          </w:p>
        </w:tc>
        <w:tc>
          <w:tcPr>
            <w:tcW w:type="dxa" w:w="27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Selected estimate (SE)</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p</w:t>
            </w:r>
          </w:p>
        </w:tc>
        <w:tc>
          <w:tcPr>
            <w:tcW w:type="dxa" w:w="27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Runner-up estimate (SE)</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p</w:t>
            </w:r>
          </w:p>
        </w:tc>
      </w:tr>
      <w:tr>
        <w:tc>
          <w:tcPr>
            <w:tcW w:type="dxa" w:w="1728"/>
            <w:tcMar>
              <w:top w:w="90" w:type="dxa"/>
              <w:start w:w="110" w:type="dxa"/>
              <w:bottom w:w="90" w:type="dxa"/>
              <w:end w:w="110" w:type="dxa"/>
            </w:tcMar>
            <w:vAlign w:val="center"/>
          </w:tcPr>
          <w:p>
            <w:pPr>
              <w:spacing w:before="0" w:after="0" w:line="240" w:lineRule="auto"/>
            </w:pPr>
            <w:r>
              <w:rPr>
                <w:rFonts w:ascii="Aptos" w:hAnsi="Aptos"/>
                <w:sz w:val="16"/>
              </w:rPr>
              <w:t>AR(1)</w:t>
            </w:r>
          </w:p>
        </w:tc>
        <w:tc>
          <w:tcPr>
            <w:tcW w:type="dxa" w:w="2736"/>
            <w:tcMar>
              <w:top w:w="90" w:type="dxa"/>
              <w:start w:w="110" w:type="dxa"/>
              <w:bottom w:w="90" w:type="dxa"/>
              <w:end w:w="110" w:type="dxa"/>
            </w:tcMar>
            <w:vAlign w:val="center"/>
          </w:tcPr>
          <w:p>
            <w:pPr>
              <w:spacing w:before="0" w:after="0" w:line="240" w:lineRule="auto"/>
              <w:jc w:val="center"/>
            </w:pPr>
            <w:r>
              <w:rPr>
                <w:rFonts w:ascii="Aptos" w:hAnsi="Aptos"/>
                <w:sz w:val="16"/>
              </w:rPr>
              <w:t>0.8952 (0.0734)</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6"/>
              </w:rPr>
              <w:t>&lt; .001</w:t>
            </w:r>
          </w:p>
        </w:tc>
        <w:tc>
          <w:tcPr>
            <w:tcW w:type="dxa" w:w="2736"/>
            <w:tcMar>
              <w:top w:w="90" w:type="dxa"/>
              <w:start w:w="110" w:type="dxa"/>
              <w:bottom w:w="90" w:type="dxa"/>
              <w:end w:w="110" w:type="dxa"/>
            </w:tcMar>
            <w:vAlign w:val="center"/>
          </w:tcPr>
          <w:p>
            <w:pPr>
              <w:spacing w:before="0" w:after="0" w:line="240" w:lineRule="auto"/>
              <w:jc w:val="center"/>
            </w:pPr>
            <w:r>
              <w:rPr>
                <w:rFonts w:ascii="Aptos" w:hAnsi="Aptos"/>
                <w:sz w:val="16"/>
              </w:rPr>
              <w:t>0.9186 (0.0736)</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6"/>
              </w:rPr>
              <w:t>&lt; .001</w:t>
            </w:r>
          </w:p>
        </w:tc>
      </w:tr>
      <w:tr>
        <w:tc>
          <w:tcPr>
            <w:tcW w:type="dxa" w:w="1728"/>
            <w:tcMar>
              <w:top w:w="90" w:type="dxa"/>
              <w:start w:w="110" w:type="dxa"/>
              <w:bottom w:w="90" w:type="dxa"/>
              <w:end w:w="110" w:type="dxa"/>
            </w:tcMar>
            <w:vAlign w:val="center"/>
            <w:shd w:fill="F3F6F8"/>
          </w:tcPr>
          <w:p>
            <w:pPr>
              <w:spacing w:before="0" w:after="0" w:line="240" w:lineRule="auto"/>
            </w:pPr>
            <w:r>
              <w:rPr>
                <w:rFonts w:ascii="Aptos" w:hAnsi="Aptos"/>
                <w:sz w:val="16"/>
              </w:rPr>
              <w:t>AR(2)</w:t>
            </w:r>
          </w:p>
        </w:tc>
        <w:tc>
          <w:tcPr>
            <w:tcW w:type="dxa" w:w="2736"/>
            <w:tcMar>
              <w:top w:w="90" w:type="dxa"/>
              <w:start w:w="110" w:type="dxa"/>
              <w:bottom w:w="90" w:type="dxa"/>
              <w:end w:w="110" w:type="dxa"/>
            </w:tcMar>
            <w:vAlign w:val="center"/>
            <w:shd w:fill="F3F6F8"/>
          </w:tcPr>
          <w:p>
            <w:pPr>
              <w:spacing w:before="0" w:after="0" w:line="240" w:lineRule="auto"/>
              <w:jc w:val="center"/>
            </w:pPr>
            <w:r>
              <w:rPr>
                <w:rFonts w:ascii="Aptos" w:hAnsi="Aptos"/>
                <w:sz w:val="16"/>
              </w:rPr>
              <w:t>-0.2227 (0.0741)</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6"/>
              </w:rPr>
              <w:t>.003</w:t>
            </w:r>
          </w:p>
        </w:tc>
        <w:tc>
          <w:tcPr>
            <w:tcW w:type="dxa" w:w="2736"/>
            <w:tcMar>
              <w:top w:w="90" w:type="dxa"/>
              <w:start w:w="110" w:type="dxa"/>
              <w:bottom w:w="90" w:type="dxa"/>
              <w:end w:w="110" w:type="dxa"/>
            </w:tcMar>
            <w:vAlign w:val="center"/>
            <w:shd w:fill="F3F6F8"/>
          </w:tcPr>
          <w:p>
            <w:pPr>
              <w:spacing w:before="0" w:after="0" w:line="240" w:lineRule="auto"/>
              <w:jc w:val="center"/>
            </w:pPr>
            <w:r>
              <w:rPr>
                <w:rFonts w:ascii="Aptos" w:hAnsi="Aptos"/>
                <w:sz w:val="16"/>
              </w:rPr>
              <w:t>-0.2413 (0.0737)</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6"/>
              </w:rPr>
              <w:t>.001</w:t>
            </w:r>
          </w:p>
        </w:tc>
      </w:tr>
      <w:tr>
        <w:tc>
          <w:tcPr>
            <w:tcW w:type="dxa" w:w="1728"/>
            <w:tcMar>
              <w:top w:w="90" w:type="dxa"/>
              <w:start w:w="110" w:type="dxa"/>
              <w:bottom w:w="90" w:type="dxa"/>
              <w:end w:w="110" w:type="dxa"/>
            </w:tcMar>
            <w:vAlign w:val="center"/>
          </w:tcPr>
          <w:p>
            <w:pPr>
              <w:spacing w:before="0" w:after="0" w:line="240" w:lineRule="auto"/>
            </w:pPr>
            <w:r>
              <w:rPr>
                <w:rFonts w:ascii="Aptos" w:hAnsi="Aptos"/>
                <w:sz w:val="16"/>
              </w:rPr>
              <w:t>Seasonal AR(1)</w:t>
            </w:r>
          </w:p>
        </w:tc>
        <w:tc>
          <w:tcPr>
            <w:tcW w:type="dxa" w:w="2736"/>
            <w:tcMar>
              <w:top w:w="90" w:type="dxa"/>
              <w:start w:w="110" w:type="dxa"/>
              <w:bottom w:w="90" w:type="dxa"/>
              <w:end w:w="110" w:type="dxa"/>
            </w:tcMar>
            <w:vAlign w:val="center"/>
          </w:tcPr>
          <w:p>
            <w:pPr>
              <w:spacing w:before="0" w:after="0" w:line="240" w:lineRule="auto"/>
              <w:jc w:val="center"/>
            </w:pPr>
            <w:r>
              <w:rPr>
                <w:rFonts w:ascii="Aptos" w:hAnsi="Aptos"/>
                <w:sz w:val="16"/>
              </w:rPr>
              <w:t>0.9794 (0.0261)</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6"/>
              </w:rPr>
              <w:t>&lt; .001</w:t>
            </w:r>
          </w:p>
        </w:tc>
        <w:tc>
          <w:tcPr>
            <w:tcW w:type="dxa" w:w="2736"/>
            <w:tcMar>
              <w:top w:w="90" w:type="dxa"/>
              <w:start w:w="110" w:type="dxa"/>
              <w:bottom w:w="90" w:type="dxa"/>
              <w:end w:w="110" w:type="dxa"/>
            </w:tcMar>
            <w:vAlign w:val="center"/>
          </w:tcPr>
          <w:p>
            <w:pPr>
              <w:spacing w:before="0" w:after="0" w:line="240" w:lineRule="auto"/>
              <w:jc w:val="center"/>
            </w:pPr>
            <w:r>
              <w:rPr>
                <w:rFonts w:ascii="Aptos" w:hAnsi="Aptos"/>
                <w:sz w:val="16"/>
              </w:rPr>
              <w:t>0.3371 (0.0705)</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6"/>
              </w:rPr>
              <w:t>&lt; .001</w:t>
            </w:r>
          </w:p>
        </w:tc>
      </w:tr>
      <w:tr>
        <w:tc>
          <w:tcPr>
            <w:tcW w:type="dxa" w:w="1728"/>
            <w:tcMar>
              <w:top w:w="90" w:type="dxa"/>
              <w:start w:w="110" w:type="dxa"/>
              <w:bottom w:w="90" w:type="dxa"/>
              <w:end w:w="110" w:type="dxa"/>
            </w:tcMar>
            <w:vAlign w:val="center"/>
            <w:shd w:fill="F3F6F8"/>
          </w:tcPr>
          <w:p>
            <w:pPr>
              <w:spacing w:before="0" w:after="0" w:line="240" w:lineRule="auto"/>
            </w:pPr>
            <w:r>
              <w:rPr>
                <w:rFonts w:ascii="Aptos" w:hAnsi="Aptos"/>
                <w:sz w:val="16"/>
              </w:rPr>
              <w:t>Seasonal MA(1)</w:t>
            </w:r>
          </w:p>
        </w:tc>
        <w:tc>
          <w:tcPr>
            <w:tcW w:type="dxa" w:w="2736"/>
            <w:tcMar>
              <w:top w:w="90" w:type="dxa"/>
              <w:start w:w="110" w:type="dxa"/>
              <w:bottom w:w="90" w:type="dxa"/>
              <w:end w:w="110" w:type="dxa"/>
            </w:tcMar>
            <w:vAlign w:val="center"/>
            <w:shd w:fill="F3F6F8"/>
          </w:tcPr>
          <w:p>
            <w:pPr>
              <w:spacing w:before="0" w:after="0" w:line="240" w:lineRule="auto"/>
              <w:jc w:val="center"/>
            </w:pPr>
            <w:r>
              <w:rPr>
                <w:rFonts w:ascii="Aptos" w:hAnsi="Aptos"/>
                <w:sz w:val="16"/>
              </w:rPr>
              <w:t>-0.8634 (0.0866)</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6"/>
              </w:rPr>
              <w:t>&lt; .001</w:t>
            </w:r>
          </w:p>
        </w:tc>
        <w:tc>
          <w:tcPr>
            <w:tcW w:type="dxa" w:w="2736"/>
            <w:tcMar>
              <w:top w:w="90" w:type="dxa"/>
              <w:start w:w="110" w:type="dxa"/>
              <w:bottom w:w="90" w:type="dxa"/>
              <w:end w:w="110" w:type="dxa"/>
            </w:tcMar>
            <w:vAlign w:val="center"/>
            <w:shd w:fill="F3F6F8"/>
          </w:tcPr>
          <w:p>
            <w:pPr>
              <w:spacing w:before="0" w:after="0" w:line="240" w:lineRule="auto"/>
              <w:jc w:val="center"/>
            </w:pPr>
            <w:r>
              <w:rPr>
                <w:rFonts w:ascii="Aptos" w:hAnsi="Aptos"/>
                <w:sz w:val="16"/>
              </w:rPr>
              <w:t>--</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6"/>
              </w:rPr>
              <w:t>--</w:t>
            </w:r>
          </w:p>
        </w:tc>
      </w:tr>
    </w:tbl>
    <w:p>
      <w:pPr>
        <w:spacing w:after="40"/>
      </w:pPr>
    </w:p>
    <w:p>
      <w:pPr>
        <w:spacing w:after="120"/>
        <w:jc w:val="both"/>
      </w:pPr>
      <w:r>
        <w:t>All retained coefficients are statistically significant. In the selected model, the seasonal AR estimate of 0.9794 indicates strong annual persistence, while the seasonal MA estimate of -0.8634 accounts for seasonal shocks that are not absorbed by the seasonal AR term alone. The fitted model is</w:t>
      </w:r>
    </w:p>
    <w:p>
      <w:pPr>
        <w:spacing w:before="80" w:after="160"/>
        <w:jc w:val="center"/>
      </w:pPr>
      <w:r>
        <w:rPr>
          <w:rFonts w:ascii="Cambria Math" w:hAnsi="Cambria Math"/>
          <w:sz w:val="21"/>
        </w:rPr>
        <w:t>(1 - 0.8952B + 0.2227B^2)(1 - 0.9794B^12)(1-B)X_t = (1 - 0.8634B^12)W_t.     (2)</w:t>
      </w:r>
    </w:p>
    <w:p>
      <w:pPr>
        <w:keepNext/>
        <w:spacing w:before="160" w:after="60"/>
      </w:pPr>
      <w:r>
        <w:rPr>
          <w:b/>
          <w:color w:val="156082"/>
        </w:rPr>
        <w:t xml:space="preserve">Table 5. </w:t>
      </w:r>
      <w:r>
        <w:t>Comparison of the diagnostically adequate finalists.</w:t>
      </w:r>
    </w:p>
    <w:tbl>
      <w:tblPr>
        <w:tblW w:type="dxa" w:w="9360"/>
        <w:jc w:val="left"/>
        <w:tblLayout w:type="fixed"/>
        <w:tblLook w:firstColumn="1" w:firstRow="1" w:lastColumn="0" w:lastRow="0" w:noHBand="0" w:noVBand="1" w:val="04A0"/>
        <w:tblInd w:w="120" w:type="dxa"/>
        <w:tblBorders>
          <w:top w:val="single" w:sz="4" w:space="0" w:color="B4C6D7"/>
          <w:start w:val="single" w:sz="4" w:space="0" w:color="B4C6D7"/>
          <w:bottom w:val="single" w:sz="4" w:space="0" w:color="B4C6D7"/>
          <w:end w:val="single" w:sz="4" w:space="0" w:color="B4C6D7"/>
          <w:insideH w:val="single" w:sz="4" w:space="0" w:color="B4C6D7"/>
          <w:insideV w:val="single" w:sz="4" w:space="0" w:color="B4C6D7"/>
        </w:tblBorders>
      </w:tblPr>
      <w:tblGrid>
        <w:gridCol w:w="3240"/>
        <w:gridCol w:w="1008"/>
        <w:gridCol w:w="936"/>
        <w:gridCol w:w="936"/>
        <w:gridCol w:w="1008"/>
        <w:gridCol w:w="936"/>
        <w:gridCol w:w="1296"/>
      </w:tblGrid>
      <w:tr>
        <w:trPr>
          <w:tblHeader w:val="true"/>
        </w:trPr>
        <w:tc>
          <w:tcPr>
            <w:tcW w:type="dxa" w:w="3240"/>
            <w:tcMar>
              <w:top w:w="90" w:type="dxa"/>
              <w:start w:w="110" w:type="dxa"/>
              <w:bottom w:w="90" w:type="dxa"/>
              <w:end w:w="110" w:type="dxa"/>
            </w:tcMar>
            <w:vAlign w:val="center"/>
            <w:shd w:fill="156082"/>
          </w:tcPr>
          <w:p>
            <w:pPr>
              <w:spacing w:before="0" w:after="0" w:line="240" w:lineRule="auto"/>
            </w:pPr>
            <w:r>
              <w:rPr>
                <w:rFonts w:ascii="Aptos" w:hAnsi="Aptos"/>
                <w:b/>
                <w:color w:val="FFFFFF"/>
                <w:sz w:val="15"/>
              </w:rPr>
              <w:t>Model</w:t>
            </w:r>
          </w:p>
        </w:tc>
        <w:tc>
          <w:tcPr>
            <w:tcW w:type="dxa" w:w="1008"/>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5"/>
              </w:rPr>
              <w:t>Variance</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5"/>
              </w:rPr>
              <w:t>AICc</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5"/>
              </w:rPr>
              <w:t>BIC</w:t>
            </w:r>
          </w:p>
        </w:tc>
        <w:tc>
          <w:tcPr>
            <w:tcW w:type="dxa" w:w="1008"/>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5"/>
              </w:rPr>
              <w:t>RMSE</w:t>
            </w:r>
          </w:p>
        </w:tc>
        <w:tc>
          <w:tcPr>
            <w:tcW w:type="dxa" w:w="93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5"/>
              </w:rPr>
              <w:t>MAE</w:t>
            </w:r>
          </w:p>
        </w:tc>
        <w:tc>
          <w:tcPr>
            <w:tcW w:type="dxa" w:w="1296"/>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5"/>
              </w:rPr>
              <w:t>Decision</w:t>
            </w:r>
          </w:p>
        </w:tc>
      </w:tr>
      <w:tr>
        <w:tc>
          <w:tcPr>
            <w:tcW w:type="dxa" w:w="3240"/>
            <w:tcMar>
              <w:top w:w="90" w:type="dxa"/>
              <w:start w:w="110" w:type="dxa"/>
              <w:bottom w:w="90" w:type="dxa"/>
              <w:end w:w="110" w:type="dxa"/>
            </w:tcMar>
            <w:vAlign w:val="center"/>
          </w:tcPr>
          <w:p>
            <w:pPr>
              <w:spacing w:before="0" w:after="0" w:line="240" w:lineRule="auto"/>
            </w:pPr>
            <w:r>
              <w:rPr>
                <w:rFonts w:ascii="Aptos" w:hAnsi="Aptos"/>
                <w:sz w:val="15"/>
              </w:rPr>
              <w:t>SARIMA(2,1,0) x (1,0,1)[12]</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5"/>
              </w:rPr>
              <w:t>0.3347</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5"/>
              </w:rPr>
              <w:t>329.10</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5"/>
              </w:rPr>
              <w:t>344.69</w:t>
            </w:r>
          </w:p>
        </w:tc>
        <w:tc>
          <w:tcPr>
            <w:tcW w:type="dxa" w:w="1008"/>
            <w:tcMar>
              <w:top w:w="90" w:type="dxa"/>
              <w:start w:w="110" w:type="dxa"/>
              <w:bottom w:w="90" w:type="dxa"/>
              <w:end w:w="110" w:type="dxa"/>
            </w:tcMar>
            <w:vAlign w:val="center"/>
          </w:tcPr>
          <w:p>
            <w:pPr>
              <w:spacing w:before="0" w:after="0" w:line="240" w:lineRule="auto"/>
              <w:jc w:val="center"/>
            </w:pPr>
            <w:r>
              <w:rPr>
                <w:rFonts w:ascii="Aptos" w:hAnsi="Aptos"/>
                <w:sz w:val="15"/>
              </w:rPr>
              <w:t>5.604</w:t>
            </w:r>
          </w:p>
        </w:tc>
        <w:tc>
          <w:tcPr>
            <w:tcW w:type="dxa" w:w="936"/>
            <w:tcMar>
              <w:top w:w="90" w:type="dxa"/>
              <w:start w:w="110" w:type="dxa"/>
              <w:bottom w:w="90" w:type="dxa"/>
              <w:end w:w="110" w:type="dxa"/>
            </w:tcMar>
            <w:vAlign w:val="center"/>
          </w:tcPr>
          <w:p>
            <w:pPr>
              <w:spacing w:before="0" w:after="0" w:line="240" w:lineRule="auto"/>
              <w:jc w:val="center"/>
            </w:pPr>
            <w:r>
              <w:rPr>
                <w:rFonts w:ascii="Aptos" w:hAnsi="Aptos"/>
                <w:sz w:val="15"/>
              </w:rPr>
              <w:t>4.528</w:t>
            </w:r>
          </w:p>
        </w:tc>
        <w:tc>
          <w:tcPr>
            <w:tcW w:type="dxa" w:w="1296"/>
            <w:tcMar>
              <w:top w:w="90" w:type="dxa"/>
              <w:start w:w="110" w:type="dxa"/>
              <w:bottom w:w="90" w:type="dxa"/>
              <w:end w:w="110" w:type="dxa"/>
            </w:tcMar>
            <w:vAlign w:val="center"/>
          </w:tcPr>
          <w:p>
            <w:pPr>
              <w:spacing w:before="0" w:after="0" w:line="240" w:lineRule="auto"/>
              <w:jc w:val="center"/>
            </w:pPr>
            <w:r>
              <w:rPr>
                <w:rFonts w:ascii="Aptos" w:hAnsi="Aptos"/>
                <w:sz w:val="15"/>
              </w:rPr>
              <w:t>Selected</w:t>
            </w:r>
          </w:p>
        </w:tc>
      </w:tr>
      <w:tr>
        <w:tc>
          <w:tcPr>
            <w:tcW w:type="dxa" w:w="3240"/>
            <w:tcMar>
              <w:top w:w="90" w:type="dxa"/>
              <w:start w:w="110" w:type="dxa"/>
              <w:bottom w:w="90" w:type="dxa"/>
              <w:end w:w="110" w:type="dxa"/>
            </w:tcMar>
            <w:vAlign w:val="center"/>
            <w:shd w:fill="F3F6F8"/>
          </w:tcPr>
          <w:p>
            <w:pPr>
              <w:spacing w:before="0" w:after="0" w:line="240" w:lineRule="auto"/>
            </w:pPr>
            <w:r>
              <w:rPr>
                <w:rFonts w:ascii="Aptos" w:hAnsi="Aptos"/>
                <w:sz w:val="15"/>
              </w:rPr>
              <w:t>SARIMA(2,1,0) x (1,0,0)[12]</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5"/>
              </w:rPr>
              <w:t>0.3920</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5"/>
              </w:rPr>
              <w:t>347.90</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5"/>
              </w:rPr>
              <w:t>360.42</w:t>
            </w:r>
          </w:p>
        </w:tc>
        <w:tc>
          <w:tcPr>
            <w:tcW w:type="dxa" w:w="1008"/>
            <w:tcMar>
              <w:top w:w="90" w:type="dxa"/>
              <w:start w:w="110" w:type="dxa"/>
              <w:bottom w:w="90" w:type="dxa"/>
              <w:end w:w="110" w:type="dxa"/>
            </w:tcMar>
            <w:vAlign w:val="center"/>
            <w:shd w:fill="F3F6F8"/>
          </w:tcPr>
          <w:p>
            <w:pPr>
              <w:spacing w:before="0" w:after="0" w:line="240" w:lineRule="auto"/>
              <w:jc w:val="center"/>
            </w:pPr>
            <w:r>
              <w:rPr>
                <w:rFonts w:ascii="Aptos" w:hAnsi="Aptos"/>
                <w:sz w:val="15"/>
              </w:rPr>
              <w:t>6.576</w:t>
            </w:r>
          </w:p>
        </w:tc>
        <w:tc>
          <w:tcPr>
            <w:tcW w:type="dxa" w:w="936"/>
            <w:tcMar>
              <w:top w:w="90" w:type="dxa"/>
              <w:start w:w="110" w:type="dxa"/>
              <w:bottom w:w="90" w:type="dxa"/>
              <w:end w:w="110" w:type="dxa"/>
            </w:tcMar>
            <w:vAlign w:val="center"/>
            <w:shd w:fill="F3F6F8"/>
          </w:tcPr>
          <w:p>
            <w:pPr>
              <w:spacing w:before="0" w:after="0" w:line="240" w:lineRule="auto"/>
              <w:jc w:val="center"/>
            </w:pPr>
            <w:r>
              <w:rPr>
                <w:rFonts w:ascii="Aptos" w:hAnsi="Aptos"/>
                <w:sz w:val="15"/>
              </w:rPr>
              <w:t>5.307</w:t>
            </w:r>
          </w:p>
        </w:tc>
        <w:tc>
          <w:tcPr>
            <w:tcW w:type="dxa" w:w="1296"/>
            <w:tcMar>
              <w:top w:w="90" w:type="dxa"/>
              <w:start w:w="110" w:type="dxa"/>
              <w:bottom w:w="90" w:type="dxa"/>
              <w:end w:w="110" w:type="dxa"/>
            </w:tcMar>
            <w:vAlign w:val="center"/>
            <w:shd w:fill="F3F6F8"/>
          </w:tcPr>
          <w:p>
            <w:pPr>
              <w:spacing w:before="0" w:after="0" w:line="240" w:lineRule="auto"/>
              <w:jc w:val="center"/>
            </w:pPr>
            <w:r>
              <w:rPr>
                <w:rFonts w:ascii="Aptos" w:hAnsi="Aptos"/>
                <w:sz w:val="15"/>
              </w:rPr>
              <w:t>Runner-up</w:t>
            </w:r>
          </w:p>
        </w:tc>
      </w:tr>
    </w:tbl>
    <w:p>
      <w:pPr>
        <w:spacing w:after="40"/>
      </w:pPr>
    </w:p>
    <w:p>
      <w:pPr>
        <w:spacing w:after="120"/>
        <w:jc w:val="both"/>
      </w:pPr>
      <w:r>
        <w:t>AICc and BIC are reported for the finalists because they share the same differencing order. Both information criteria favor the seasonal ARMA refinement, which also has the smaller residual variance and stronger expanding-window accuracy. The final selection is therefore supported by fit, diagnostics, and out-of-sample performance rather than by a single criterion.</w:t>
      </w:r>
    </w:p>
    <w:p>
      <w:r>
        <w:br w:type="page"/>
      </w:r>
    </w:p>
    <w:p>
      <w:pPr>
        <w:pStyle w:val="Heading2"/>
        <w:keepNext/>
      </w:pPr>
      <w:r>
        <w:t>Model Diagnostics</w:t>
      </w:r>
    </w:p>
    <w:p>
      <w:pPr>
        <w:pStyle w:val="Heading3"/>
        <w:keepNext/>
      </w:pPr>
      <w:r>
        <w:t>Selected model</w:t>
      </w:r>
    </w:p>
    <w:p>
      <w:pPr>
        <w:spacing w:after="120"/>
        <w:jc w:val="both"/>
      </w:pPr>
      <w:r>
        <w:t>The selected SARIMA(2,1,0) x (1,0,1)[12] model has Ljung-Box p-values of 0.219, 0.129, and 0.098 at lags 12, 24, and 36. These values remain above .05, providing no evidence of systematic residual autocorrelation at the designated diagnostic lags.</w:t>
      </w:r>
    </w:p>
    <w:p>
      <w:pPr>
        <w:keepNext/>
        <w:spacing w:before="80"/>
        <w:jc w:val="center"/>
      </w:pPr>
      <w:r>
        <w:drawing>
          <wp:inline xmlns:a="http://schemas.openxmlformats.org/drawingml/2006/main" xmlns:pic="http://schemas.openxmlformats.org/drawingml/2006/picture">
            <wp:extent cx="5623560" cy="5623560"/>
            <wp:docPr id="205" name="Picture 205" descr="Residual diagnostics for the selected SARIMA(2,1,0) x (1,0,1)[12] model. The panel includes the standardized residual series, residual ACF, normal Q-Q plot, and Ljung-Box p-values."/>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23560" cy="5623560"/>
                    </a:xfrm>
                    <a:prstGeom prst="rect"/>
                  </pic:spPr>
                </pic:pic>
              </a:graphicData>
            </a:graphic>
          </wp:inline>
        </w:drawing>
      </w:r>
    </w:p>
    <w:p>
      <w:pPr>
        <w:spacing w:before="40" w:after="160"/>
        <w:jc w:val="left"/>
      </w:pPr>
      <w:r>
        <w:rPr>
          <w:b/>
          <w:color w:val="156082"/>
        </w:rPr>
        <w:t xml:space="preserve">Figure 5. </w:t>
      </w:r>
      <w:r>
        <w:t>Residual diagnostics for the selected SARIMA(2,1,0) x (1,0,1)[12] model. The panel includes the standardized residual series, residual ACF, normal Q-Q plot, and Ljung-Box p-values.</w:t>
      </w:r>
    </w:p>
    <w:p>
      <w:pPr>
        <w:spacing w:after="120"/>
        <w:jc w:val="both"/>
      </w:pPr>
      <w:r>
        <w:t>The standardized residuals fluctuate around zero without a persistent trend or progressive increase in variance. The residual ACF contains only isolated values near the confidence bounds, and the Ljung-Box sequence remains above .05. The normal Q-Q plot is approximately linear through the center with mild departures in both tails. Overall, the diagnostics support the model's use for forecasting while indicating that unusually large price movements remain possible.</w:t>
      </w:r>
    </w:p>
    <w:p>
      <w:pPr>
        <w:pStyle w:val="Heading3"/>
        <w:keepNext/>
      </w:pPr>
      <w:r>
        <w:t>Runner-up model</w:t>
      </w:r>
    </w:p>
    <w:p>
      <w:pPr>
        <w:spacing w:after="120"/>
        <w:jc w:val="both"/>
      </w:pPr>
      <w:r>
        <w:t>The SARIMA(2,1,0) x (1,0,0)[12] runner-up also produces adequate residuals, with Ljung-Box p-values of 0.197, 0.447, and 0.132. Its simpler seasonal structure is diagnostically acceptable, but it does not match the selected model's rolling-origin accuracy.</w:t>
      </w:r>
    </w:p>
    <w:p>
      <w:pPr>
        <w:keepNext/>
        <w:spacing w:before="80"/>
        <w:jc w:val="center"/>
      </w:pPr>
      <w:r>
        <w:drawing>
          <wp:inline xmlns:a="http://schemas.openxmlformats.org/drawingml/2006/main" xmlns:pic="http://schemas.openxmlformats.org/drawingml/2006/picture">
            <wp:extent cx="5623560" cy="5623560"/>
            <wp:docPr id="206" name="Picture 206" descr="Residual diagnostics for the SARIMA(2,1,0) x (1,0,0)[12] runner-up. The panel includes the standardized residual series, residual ACF, normal Q-Q plot, and Ljung-Box p-values."/>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23560" cy="5623560"/>
                    </a:xfrm>
                    <a:prstGeom prst="rect"/>
                  </pic:spPr>
                </pic:pic>
              </a:graphicData>
            </a:graphic>
          </wp:inline>
        </w:drawing>
      </w:r>
    </w:p>
    <w:p>
      <w:pPr>
        <w:spacing w:before="40" w:after="160"/>
        <w:jc w:val="left"/>
      </w:pPr>
      <w:r>
        <w:rPr>
          <w:b/>
          <w:color w:val="156082"/>
        </w:rPr>
        <w:t xml:space="preserve">Figure 6. </w:t>
      </w:r>
      <w:r>
        <w:t>Residual diagnostics for the SARIMA(2,1,0) x (1,0,0)[12] runner-up. The panel includes the standardized residual series, residual ACF, normal Q-Q plot, and Ljung-Box p-values.</w:t>
      </w:r>
    </w:p>
    <w:p>
      <w:pPr>
        <w:pStyle w:val="Heading2"/>
        <w:keepNext/>
      </w:pPr>
      <w:r>
        <w:t>Final Selection and Forecasting</w:t>
      </w:r>
    </w:p>
    <w:p>
      <w:pPr>
        <w:pStyle w:val="Heading3"/>
        <w:keepNext/>
      </w:pPr>
      <w:r>
        <w:t>Final model selection</w:t>
      </w:r>
    </w:p>
    <w:p>
      <w:pPr>
        <w:spacing w:after="120"/>
        <w:jc w:val="both"/>
      </w:pPr>
      <w:r>
        <w:t>The SARIMA(2,1,0) x (1,0,1)[12] model without drift was selected because it provided the best validated forecast performance among the eligible candidates. It is one of only two specifications that satisfied every coefficient, root, and residual condition. The seasonal MA term provides a material forecast improvement over the simpler runner-up rather than adding complexity without measurable value.</w:t>
      </w:r>
    </w:p>
    <w:p>
      <w:pPr>
        <w:spacing w:after="120"/>
        <w:jc w:val="both"/>
      </w:pPr>
      <w:r>
        <w:t>The minimum fitted AR root is 1.002, which remains outside the unit circle but is close to its boundary. This near-unit seasonal root makes the fitted process highly persistent and somewhat sensitive to small changes in the data or model specification. It is therefore treated as an important model characteristic that warrants cautious interpretation rather than as a violation of stationarity.</w:t>
      </w:r>
    </w:p>
    <w:p>
      <w:pPr>
        <w:pStyle w:val="Heading3"/>
        <w:keepNext/>
      </w:pPr>
      <w:r>
        <w:t>Twenty-four-month forecast</w:t>
      </w:r>
    </w:p>
    <w:p>
      <w:pPr>
        <w:spacing w:after="120"/>
        <w:jc w:val="both"/>
      </w:pPr>
      <w:r>
        <w:t>A 24-month forecast was generated from August 2016 through July 2018 using the selected model. As shown in Figure 7, the point forecast begins at 110.8 cents per pound, reaches a short-term low of 108.9 cents in December 2016, and then rises with recurring fluctuations to 114.9 cents per pound by July 2018.</w:t>
      </w:r>
    </w:p>
    <w:p>
      <w:pPr>
        <w:keepNext/>
        <w:spacing w:before="80"/>
        <w:jc w:val="center"/>
      </w:pPr>
      <w:r>
        <w:drawing>
          <wp:inline xmlns:a="http://schemas.openxmlformats.org/drawingml/2006/main" xmlns:pic="http://schemas.openxmlformats.org/drawingml/2006/picture">
            <wp:extent cx="5806440" cy="4258056"/>
            <wp:docPr id="207" name="Picture 207" descr="Twenty-four-month forecast from the selected model with 80% and 95% prediction intervals."/>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806440" cy="4258056"/>
                    </a:xfrm>
                    <a:prstGeom prst="rect"/>
                  </pic:spPr>
                </pic:pic>
              </a:graphicData>
            </a:graphic>
          </wp:inline>
        </w:drawing>
      </w:r>
    </w:p>
    <w:p>
      <w:pPr>
        <w:spacing w:before="40" w:after="160"/>
        <w:jc w:val="left"/>
      </w:pPr>
      <w:r>
        <w:rPr>
          <w:b/>
          <w:color w:val="156082"/>
        </w:rPr>
        <w:t xml:space="preserve">Figure 7. </w:t>
      </w:r>
      <w:r>
        <w:t>Twenty-four-month forecast from the selected model with 80% and 95% prediction intervals.</w:t>
      </w:r>
    </w:p>
    <w:p>
      <w:pPr>
        <w:spacing w:after="120"/>
        <w:jc w:val="both"/>
      </w:pPr>
      <w:r>
        <w:t>The 95% interval widens from 109.6-111.9 cents per pound in the first forecast month to 97.7-132.0 cents per pound in July 2018. Near-term forecasts therefore provide a relatively narrow range, whereas longer-horizon values should be treated as planning ranges rather than precise monthly predictions.</w:t>
      </w:r>
    </w:p>
    <w:p>
      <w:pPr>
        <w:spacing w:after="120"/>
        <w:jc w:val="both"/>
      </w:pPr>
      <w:r>
        <w:t>For budgeting or procurement, the forecast suggests that chicken prices are likely to remain near their recent historically high levels rather than return to the lower values observed early in the series. The projected path is not a steady month-to-month increase; it combines a gradual rise with recurring annual behavior. External market shocks, policy changes, and input-cost movements are not included, so the prediction intervals remain more informative for risk planning than the point forecasts alone.</w:t>
      </w:r>
    </w:p>
    <w:p>
      <w:r>
        <w:br w:type="page"/>
      </w:r>
    </w:p>
    <w:p>
      <w:pPr>
        <w:pStyle w:val="Heading2"/>
        <w:keepNext/>
      </w:pPr>
      <w:r>
        <w:t>Appendix A: Reproducible R Analysis</w:t>
      </w:r>
    </w:p>
    <w:p>
      <w:pPr>
        <w:spacing w:after="120"/>
        <w:jc w:val="both"/>
      </w:pPr>
      <w:r>
        <w:t>The complete analysis is contained in analysis/chicken_sales_forecast.R. The script validates the monthly data, produces the seven figures, screens all eight SARIMA candidates, runs the 37-origin expanding-window evaluation, selects the final model, and writes the 24-month forecast. No non-R analytical code is required.</w:t>
      </w:r>
    </w:p>
    <w:p>
      <w:pPr>
        <w:pStyle w:val="IntenseQuote"/>
        <w:spacing w:before="160" w:after="160"/>
      </w:pPr>
      <w:r>
        <w:rPr>
          <w:rFonts w:ascii="Consolas" w:hAnsi="Consolas"/>
          <w:sz w:val="18"/>
        </w:rPr>
        <w:t>Rscript analysis/chicken_sales_forecast.R</w:t>
      </w:r>
    </w:p>
    <w:p>
      <w:pPr>
        <w:spacing w:after="120"/>
        <w:jc w:val="both"/>
      </w:pPr>
      <w:r>
        <w:t>The repository retains the candidate-screening, coefficient, drift-check, validation, finalist, forecast, and session-information outputs generated by this command.</w:t>
      </w:r>
    </w:p>
    <w:p>
      <w:pPr>
        <w:pStyle w:val="Heading2"/>
        <w:keepNext/>
      </w:pPr>
      <w:r>
        <w:t>Appendix B: Twenty-four-month Forecast</w:t>
      </w:r>
    </w:p>
    <w:p>
      <w:pPr>
        <w:keepNext/>
        <w:spacing w:before="160" w:after="60"/>
      </w:pPr>
      <w:r>
        <w:rPr>
          <w:b/>
          <w:color w:val="156082"/>
        </w:rPr>
        <w:t xml:space="preserve">Table 6. </w:t>
      </w:r>
      <w:r>
        <w:t>Monthly point forecasts and prediction intervals, August 2016-July 2018.</w:t>
      </w:r>
    </w:p>
    <w:tbl>
      <w:tblPr>
        <w:tblW w:type="dxa" w:w="8784"/>
        <w:jc w:val="left"/>
        <w:tblLayout w:type="fixed"/>
        <w:tblLook w:firstColumn="1" w:firstRow="1" w:lastColumn="0" w:lastRow="0" w:noHBand="0" w:noVBand="1" w:val="04A0"/>
        <w:tblInd w:w="120" w:type="dxa"/>
        <w:tblBorders>
          <w:top w:val="single" w:sz="4" w:space="0" w:color="B4C6D7"/>
          <w:start w:val="single" w:sz="4" w:space="0" w:color="B4C6D7"/>
          <w:bottom w:val="single" w:sz="4" w:space="0" w:color="B4C6D7"/>
          <w:end w:val="single" w:sz="4" w:space="0" w:color="B4C6D7"/>
          <w:insideH w:val="single" w:sz="4" w:space="0" w:color="B4C6D7"/>
          <w:insideV w:val="single" w:sz="4" w:space="0" w:color="B4C6D7"/>
        </w:tblBorders>
      </w:tblPr>
      <w:tblGrid>
        <w:gridCol w:w="1584"/>
        <w:gridCol w:w="1440"/>
        <w:gridCol w:w="1440"/>
        <w:gridCol w:w="1440"/>
        <w:gridCol w:w="1440"/>
        <w:gridCol w:w="1440"/>
      </w:tblGrid>
      <w:tr>
        <w:trPr>
          <w:tblHeader w:val="true"/>
        </w:trPr>
        <w:tc>
          <w:tcPr>
            <w:tcW w:type="dxa" w:w="1584"/>
            <w:tcMar>
              <w:top w:w="90" w:type="dxa"/>
              <w:start w:w="110" w:type="dxa"/>
              <w:bottom w:w="90" w:type="dxa"/>
              <w:end w:w="110" w:type="dxa"/>
            </w:tcMar>
            <w:vAlign w:val="center"/>
            <w:shd w:fill="156082"/>
          </w:tcPr>
          <w:p>
            <w:pPr>
              <w:spacing w:before="0" w:after="0" w:line="240" w:lineRule="auto"/>
            </w:pPr>
            <w:r>
              <w:rPr>
                <w:rFonts w:ascii="Aptos" w:hAnsi="Aptos"/>
                <w:b/>
                <w:color w:val="FFFFFF"/>
                <w:sz w:val="16"/>
              </w:rPr>
              <w:t>Month</w:t>
            </w:r>
          </w:p>
        </w:tc>
        <w:tc>
          <w:tcPr>
            <w:tcW w:type="dxa" w:w="144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Point</w:t>
            </w:r>
          </w:p>
        </w:tc>
        <w:tc>
          <w:tcPr>
            <w:tcW w:type="dxa" w:w="144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Lower 80</w:t>
            </w:r>
          </w:p>
        </w:tc>
        <w:tc>
          <w:tcPr>
            <w:tcW w:type="dxa" w:w="144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Upper 80</w:t>
            </w:r>
          </w:p>
        </w:tc>
        <w:tc>
          <w:tcPr>
            <w:tcW w:type="dxa" w:w="144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Lower 95</w:t>
            </w:r>
          </w:p>
        </w:tc>
        <w:tc>
          <w:tcPr>
            <w:tcW w:type="dxa" w:w="1440"/>
            <w:tcMar>
              <w:top w:w="90" w:type="dxa"/>
              <w:start w:w="110" w:type="dxa"/>
              <w:bottom w:w="90" w:type="dxa"/>
              <w:end w:w="110" w:type="dxa"/>
            </w:tcMar>
            <w:vAlign w:val="center"/>
            <w:shd w:fill="156082"/>
          </w:tcPr>
          <w:p>
            <w:pPr>
              <w:spacing w:before="0" w:after="0" w:line="240" w:lineRule="auto"/>
              <w:jc w:val="center"/>
            </w:pPr>
            <w:r>
              <w:rPr>
                <w:rFonts w:ascii="Aptos" w:hAnsi="Aptos"/>
                <w:b/>
                <w:color w:val="FFFFFF"/>
                <w:sz w:val="16"/>
              </w:rPr>
              <w:t>Upper 95</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2016-08</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110.782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110.040</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111.525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109.647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111.917</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2016-09</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110.411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108.821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112.001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107.979</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112.843</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2016-10</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109.620</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107.191</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112.048</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105.905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113.334</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2016-11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109.071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105.878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112.263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104.188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113.953</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2016-12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108.935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105.065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112.806</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103.017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114.854</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2017-01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109.160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104.688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113.631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102.321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115.998</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2017-02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109.438</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104.429</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114.448</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101.777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117.100</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2017-03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109.959</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104.461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115.457</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101.551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118.367</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2017-04</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110.490</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104.543</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116.437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101.395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119.585</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2017-05</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111.330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104.965</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117.694</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101.596</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121.063</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2017-06</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112.071</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105.315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118.827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101.739</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122.403</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2017-07</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112.578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105.452</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119.703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101.680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123.475</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2017-08</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112.505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105.002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120.009</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101.029</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123.981</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2017-09</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112.475</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104.588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120.363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100.413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124.538</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2017-10</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111.867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103.599</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120.135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99.222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124.512</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2017-11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111.404</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102.764</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120.044</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98.190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124.618</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2017-12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111.302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102.301</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120.303</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97.536</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125.068</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2018-01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111.531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102.182</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120.881</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97.233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125.830</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2018-02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111.807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102.121</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121.492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96.994</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126.620</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2018-03</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112.317</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102.306</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122.328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97.007</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127.627</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2018-04</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112.837</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102.511</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123.162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97.045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128.629</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2018-05</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113.658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103.026</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124.290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97.398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129.918</w:t>
            </w:r>
          </w:p>
        </w:tc>
      </w:tr>
      <w:tr>
        <w:tc>
          <w:tcPr>
            <w:tcW w:type="dxa" w:w="1584"/>
            <w:tcMar>
              <w:top w:w="90" w:type="dxa"/>
              <w:start w:w="110" w:type="dxa"/>
              <w:bottom w:w="90" w:type="dxa"/>
              <w:end w:w="110" w:type="dxa"/>
            </w:tcMar>
            <w:vAlign w:val="center"/>
          </w:tcPr>
          <w:p>
            <w:pPr>
              <w:spacing w:before="0" w:after="0" w:line="240" w:lineRule="auto"/>
            </w:pPr>
            <w:r>
              <w:rPr>
                <w:rFonts w:ascii="Aptos" w:hAnsi="Aptos"/>
                <w:sz w:val="16"/>
              </w:rPr>
              <w:t>2018-06</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114.384</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103.455</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125.312</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97.670</w:t>
            </w:r>
          </w:p>
        </w:tc>
        <w:tc>
          <w:tcPr>
            <w:tcW w:type="dxa" w:w="1440"/>
            <w:tcMar>
              <w:top w:w="90" w:type="dxa"/>
              <w:start w:w="110" w:type="dxa"/>
              <w:bottom w:w="90" w:type="dxa"/>
              <w:end w:w="110" w:type="dxa"/>
            </w:tcMar>
            <w:vAlign w:val="center"/>
          </w:tcPr>
          <w:p>
            <w:pPr>
              <w:spacing w:before="0" w:after="0" w:line="240" w:lineRule="auto"/>
              <w:jc w:val="center"/>
            </w:pPr>
            <w:r>
              <w:rPr>
                <w:rFonts w:ascii="Aptos" w:hAnsi="Aptos"/>
                <w:sz w:val="16"/>
              </w:rPr>
              <w:t>131.098</w:t>
            </w:r>
          </w:p>
        </w:tc>
      </w:tr>
      <w:tr>
        <w:tc>
          <w:tcPr>
            <w:tcW w:type="dxa" w:w="1584"/>
            <w:tcMar>
              <w:top w:w="90" w:type="dxa"/>
              <w:start w:w="110" w:type="dxa"/>
              <w:bottom w:w="90" w:type="dxa"/>
              <w:end w:w="110" w:type="dxa"/>
            </w:tcMar>
            <w:vAlign w:val="center"/>
            <w:shd w:fill="F3F6F8"/>
          </w:tcPr>
          <w:p>
            <w:pPr>
              <w:spacing w:before="0" w:after="0" w:line="240" w:lineRule="auto"/>
            </w:pPr>
            <w:r>
              <w:rPr>
                <w:rFonts w:ascii="Aptos" w:hAnsi="Aptos"/>
                <w:sz w:val="16"/>
              </w:rPr>
              <w:t>2018-07</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114.880</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103.662</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126.098</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97.724</w:t>
            </w:r>
          </w:p>
        </w:tc>
        <w:tc>
          <w:tcPr>
            <w:tcW w:type="dxa" w:w="1440"/>
            <w:tcMar>
              <w:top w:w="90" w:type="dxa"/>
              <w:start w:w="110" w:type="dxa"/>
              <w:bottom w:w="90" w:type="dxa"/>
              <w:end w:w="110" w:type="dxa"/>
            </w:tcMar>
            <w:vAlign w:val="center"/>
            <w:shd w:fill="F3F6F8"/>
          </w:tcPr>
          <w:p>
            <w:pPr>
              <w:spacing w:before="0" w:after="0" w:line="240" w:lineRule="auto"/>
              <w:jc w:val="center"/>
            </w:pPr>
            <w:r>
              <w:rPr>
                <w:rFonts w:ascii="Aptos" w:hAnsi="Aptos"/>
                <w:sz w:val="16"/>
              </w:rPr>
              <w:t>132.036</w:t>
            </w:r>
          </w:p>
        </w:tc>
      </w:tr>
    </w:tbl>
    <w:p>
      <w:pPr>
        <w:spacing w:after="40"/>
      </w:pPr>
    </w:p>
    <w:sectPr w:rsidR="000E2348" w:rsidRPr="00704A8A" w:rsidSect="00797F5E">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2E5DA" w14:textId="77777777" w:rsidR="00045786" w:rsidRDefault="00045786" w:rsidP="00770B2E">
      <w:pPr>
        <w:spacing w:after="0" w:line="240" w:lineRule="auto"/>
      </w:pPr>
      <w:r>
        <w:separator/>
      </w:r>
    </w:p>
  </w:endnote>
  <w:endnote w:type="continuationSeparator" w:id="0">
    <w:p w14:paraId="0C1C6E61" w14:textId="77777777" w:rsidR="00045786" w:rsidRDefault="00045786" w:rsidP="00770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Aptos Narrow">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29DCB" w14:textId="77777777" w:rsidR="0015561B" w:rsidRDefault="00155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7747965"/>
      <w:docPartObj>
        <w:docPartGallery w:val="Page Numbers (Bottom of Page)"/>
        <w:docPartUnique/>
      </w:docPartObj>
    </w:sdtPr>
    <w:sdtEndPr>
      <w:rPr>
        <w:noProof/>
      </w:rPr>
    </w:sdtEndPr>
    <w:sdtContent>
      <w:p w14:paraId="11603817" w14:textId="4A8070A8" w:rsidR="00797F5E" w:rsidRDefault="00797F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40FD8F" w14:textId="25A995E4" w:rsidR="005B4B17" w:rsidRDefault="005B4B17" w:rsidP="00797F5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5389" w14:textId="77777777" w:rsidR="0015561B" w:rsidRDefault="00155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EDB5F" w14:textId="77777777" w:rsidR="00045786" w:rsidRDefault="00045786" w:rsidP="00770B2E">
      <w:pPr>
        <w:spacing w:after="0" w:line="240" w:lineRule="auto"/>
      </w:pPr>
      <w:r>
        <w:separator/>
      </w:r>
    </w:p>
  </w:footnote>
  <w:footnote w:type="continuationSeparator" w:id="0">
    <w:p w14:paraId="3871746F" w14:textId="77777777" w:rsidR="00045786" w:rsidRDefault="00045786" w:rsidP="00770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B1D5B" w14:textId="77777777" w:rsidR="0015561B" w:rsidRDefault="00155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8795F" w14:textId="60473034" w:rsidR="00770B2E" w:rsidRDefault="0015561B">
    <w:pPr>
      <w:pStyle w:val="Header"/>
    </w:pPr>
    <w:r>
      <w:t>Monica Yesildirek</w:t>
    </w:r>
    <w:r w:rsidR="00770B2E">
      <w:tab/>
    </w:r>
    <w:r w:rsidR="00770B2E">
      <w:tab/>
    </w:r>
    <w:r w:rsidR="00797F5E">
      <w:t xml:space="preserve">Final – </w:t>
    </w:r>
    <w:r w:rsidR="00FD1D6A">
      <w:t>Math 546 (Summer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AE155" w14:textId="77777777" w:rsidR="0015561B" w:rsidRDefault="001556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69"/>
    <w:rsid w:val="00000809"/>
    <w:rsid w:val="00030F3F"/>
    <w:rsid w:val="000339CC"/>
    <w:rsid w:val="00045786"/>
    <w:rsid w:val="00050C26"/>
    <w:rsid w:val="000656D3"/>
    <w:rsid w:val="00097A7A"/>
    <w:rsid w:val="000C308F"/>
    <w:rsid w:val="000D30C9"/>
    <w:rsid w:val="000E2348"/>
    <w:rsid w:val="00115748"/>
    <w:rsid w:val="0015561B"/>
    <w:rsid w:val="00182CB7"/>
    <w:rsid w:val="001D64A0"/>
    <w:rsid w:val="001D790F"/>
    <w:rsid w:val="001F281E"/>
    <w:rsid w:val="001F4CA8"/>
    <w:rsid w:val="00220FC2"/>
    <w:rsid w:val="002B63DD"/>
    <w:rsid w:val="00306A2E"/>
    <w:rsid w:val="00314627"/>
    <w:rsid w:val="00321859"/>
    <w:rsid w:val="00343367"/>
    <w:rsid w:val="0037482D"/>
    <w:rsid w:val="003808F7"/>
    <w:rsid w:val="003809F5"/>
    <w:rsid w:val="00391A2F"/>
    <w:rsid w:val="003B48C9"/>
    <w:rsid w:val="003C277B"/>
    <w:rsid w:val="003C600D"/>
    <w:rsid w:val="003F0888"/>
    <w:rsid w:val="004A6141"/>
    <w:rsid w:val="004B6ABB"/>
    <w:rsid w:val="004B7978"/>
    <w:rsid w:val="005A43A1"/>
    <w:rsid w:val="005B41CA"/>
    <w:rsid w:val="005B4B17"/>
    <w:rsid w:val="005B5EE8"/>
    <w:rsid w:val="005D08BA"/>
    <w:rsid w:val="005D632A"/>
    <w:rsid w:val="006045E6"/>
    <w:rsid w:val="0060472A"/>
    <w:rsid w:val="00615846"/>
    <w:rsid w:val="00623EE2"/>
    <w:rsid w:val="00687F99"/>
    <w:rsid w:val="006A54D9"/>
    <w:rsid w:val="006D728D"/>
    <w:rsid w:val="00704A8A"/>
    <w:rsid w:val="0071130F"/>
    <w:rsid w:val="00717469"/>
    <w:rsid w:val="00731B68"/>
    <w:rsid w:val="007371C6"/>
    <w:rsid w:val="00740196"/>
    <w:rsid w:val="00743FE8"/>
    <w:rsid w:val="00756355"/>
    <w:rsid w:val="00767D50"/>
    <w:rsid w:val="00770B2E"/>
    <w:rsid w:val="00776D15"/>
    <w:rsid w:val="00797BB9"/>
    <w:rsid w:val="00797F5E"/>
    <w:rsid w:val="00891B39"/>
    <w:rsid w:val="008B3E34"/>
    <w:rsid w:val="008D3FB0"/>
    <w:rsid w:val="008E5D12"/>
    <w:rsid w:val="00910646"/>
    <w:rsid w:val="00912DFE"/>
    <w:rsid w:val="00926675"/>
    <w:rsid w:val="009A08D1"/>
    <w:rsid w:val="009A71AA"/>
    <w:rsid w:val="009B4AD4"/>
    <w:rsid w:val="00A21669"/>
    <w:rsid w:val="00A53A04"/>
    <w:rsid w:val="00AC49E7"/>
    <w:rsid w:val="00AD4B37"/>
    <w:rsid w:val="00AF6F4D"/>
    <w:rsid w:val="00B57569"/>
    <w:rsid w:val="00C074E8"/>
    <w:rsid w:val="00C63E1F"/>
    <w:rsid w:val="00C805A2"/>
    <w:rsid w:val="00CB2993"/>
    <w:rsid w:val="00CC64F0"/>
    <w:rsid w:val="00CF24F6"/>
    <w:rsid w:val="00CF4D45"/>
    <w:rsid w:val="00D05077"/>
    <w:rsid w:val="00D235EC"/>
    <w:rsid w:val="00D33E7D"/>
    <w:rsid w:val="00D64C03"/>
    <w:rsid w:val="00D65194"/>
    <w:rsid w:val="00DD1442"/>
    <w:rsid w:val="00DE1A7E"/>
    <w:rsid w:val="00E14F0A"/>
    <w:rsid w:val="00E47273"/>
    <w:rsid w:val="00E654F9"/>
    <w:rsid w:val="00E74528"/>
    <w:rsid w:val="00E748BC"/>
    <w:rsid w:val="00E80550"/>
    <w:rsid w:val="00E822B8"/>
    <w:rsid w:val="00E8731F"/>
    <w:rsid w:val="00EA708D"/>
    <w:rsid w:val="00EB41B8"/>
    <w:rsid w:val="00EC0548"/>
    <w:rsid w:val="00F32F54"/>
    <w:rsid w:val="00F56109"/>
    <w:rsid w:val="00F7233E"/>
    <w:rsid w:val="00F766BE"/>
    <w:rsid w:val="00FB4F1C"/>
    <w:rsid w:val="00FD1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19563"/>
  <w15:chartTrackingRefBased/>
  <w15:docId w15:val="{1CFEC318-2AB5-403D-ACA6-451643A6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82D"/>
    <w:pPr>
      <w:keepNext/>
      <w:keepLines/>
      <w:spacing w:before="160" w:after="8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uiPriority w:val="9"/>
    <w:unhideWhenUsed/>
    <w:qFormat/>
    <w:rsid w:val="00717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82D"/>
    <w:rPr>
      <w:rFonts w:eastAsiaTheme="majorEastAsia" w:cstheme="majorBidi"/>
      <w:i/>
      <w:color w:val="0F4761" w:themeColor="accent1" w:themeShade="BF"/>
      <w:sz w:val="28"/>
      <w:szCs w:val="28"/>
    </w:rPr>
  </w:style>
  <w:style w:type="character" w:customStyle="1" w:styleId="Heading4Char">
    <w:name w:val="Heading 4 Char"/>
    <w:basedOn w:val="DefaultParagraphFont"/>
    <w:link w:val="Heading4"/>
    <w:uiPriority w:val="9"/>
    <w:rsid w:val="00717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69"/>
    <w:rPr>
      <w:rFonts w:eastAsiaTheme="majorEastAsia" w:cstheme="majorBidi"/>
      <w:color w:val="272727" w:themeColor="text1" w:themeTint="D8"/>
    </w:rPr>
  </w:style>
  <w:style w:type="paragraph" w:styleId="Title">
    <w:name w:val="Title"/>
    <w:basedOn w:val="Normal"/>
    <w:next w:val="Normal"/>
    <w:link w:val="TitleChar"/>
    <w:uiPriority w:val="10"/>
    <w:qFormat/>
    <w:rsid w:val="0015561B"/>
    <w:pPr>
      <w:spacing w:after="80" w:line="240" w:lineRule="auto"/>
      <w:contextualSpacing/>
    </w:pPr>
    <w:rPr>
      <w:rFonts w:asciiTheme="majorHAnsi" w:eastAsiaTheme="majorEastAsia" w:hAnsiTheme="majorHAnsi" w:cstheme="majorBidi"/>
      <w:color w:val="0F4761" w:themeColor="accent1" w:themeShade="BF"/>
      <w:spacing w:val="-10"/>
      <w:kern w:val="28"/>
      <w:sz w:val="96"/>
      <w:szCs w:val="56"/>
    </w:rPr>
  </w:style>
  <w:style w:type="character" w:customStyle="1" w:styleId="TitleChar">
    <w:name w:val="Title Char"/>
    <w:basedOn w:val="DefaultParagraphFont"/>
    <w:link w:val="Title"/>
    <w:uiPriority w:val="10"/>
    <w:rsid w:val="0015561B"/>
    <w:rPr>
      <w:rFonts w:asciiTheme="majorHAnsi" w:eastAsiaTheme="majorEastAsia" w:hAnsiTheme="majorHAnsi" w:cstheme="majorBidi"/>
      <w:color w:val="0F4761" w:themeColor="accent1" w:themeShade="BF"/>
      <w:spacing w:val="-10"/>
      <w:kern w:val="28"/>
      <w:sz w:val="96"/>
      <w:szCs w:val="56"/>
    </w:rPr>
  </w:style>
  <w:style w:type="paragraph" w:styleId="Subtitle">
    <w:name w:val="Subtitle"/>
    <w:basedOn w:val="Normal"/>
    <w:next w:val="Normal"/>
    <w:link w:val="SubtitleChar"/>
    <w:uiPriority w:val="11"/>
    <w:qFormat/>
    <w:rsid w:val="00717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69"/>
    <w:pPr>
      <w:spacing w:before="160"/>
      <w:jc w:val="center"/>
    </w:pPr>
    <w:rPr>
      <w:i/>
      <w:iCs/>
      <w:color w:val="404040" w:themeColor="text1" w:themeTint="BF"/>
    </w:rPr>
  </w:style>
  <w:style w:type="character" w:customStyle="1" w:styleId="QuoteChar">
    <w:name w:val="Quote Char"/>
    <w:basedOn w:val="DefaultParagraphFont"/>
    <w:link w:val="Quote"/>
    <w:uiPriority w:val="29"/>
    <w:rsid w:val="00717469"/>
    <w:rPr>
      <w:i/>
      <w:iCs/>
      <w:color w:val="404040" w:themeColor="text1" w:themeTint="BF"/>
    </w:rPr>
  </w:style>
  <w:style w:type="paragraph" w:styleId="ListParagraph">
    <w:name w:val="List Paragraph"/>
    <w:basedOn w:val="Normal"/>
    <w:uiPriority w:val="34"/>
    <w:qFormat/>
    <w:rsid w:val="00717469"/>
    <w:pPr>
      <w:ind w:left="720"/>
      <w:contextualSpacing/>
    </w:pPr>
  </w:style>
  <w:style w:type="character" w:styleId="IntenseEmphasis">
    <w:name w:val="Intense Emphasis"/>
    <w:basedOn w:val="DefaultParagraphFont"/>
    <w:uiPriority w:val="21"/>
    <w:qFormat/>
    <w:rsid w:val="00717469"/>
    <w:rPr>
      <w:i/>
      <w:iCs/>
      <w:color w:val="0F4761" w:themeColor="accent1" w:themeShade="BF"/>
    </w:rPr>
  </w:style>
  <w:style w:type="paragraph" w:styleId="IntenseQuote">
    <w:name w:val="Intense Quote"/>
    <w:basedOn w:val="Normal"/>
    <w:next w:val="Normal"/>
    <w:link w:val="IntenseQuoteChar"/>
    <w:uiPriority w:val="30"/>
    <w:qFormat/>
    <w:rsid w:val="00717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469"/>
    <w:rPr>
      <w:i/>
      <w:iCs/>
      <w:color w:val="0F4761" w:themeColor="accent1" w:themeShade="BF"/>
    </w:rPr>
  </w:style>
  <w:style w:type="character" w:styleId="IntenseReference">
    <w:name w:val="Intense Reference"/>
    <w:basedOn w:val="DefaultParagraphFont"/>
    <w:uiPriority w:val="32"/>
    <w:qFormat/>
    <w:rsid w:val="00717469"/>
    <w:rPr>
      <w:b/>
      <w:bCs/>
      <w:smallCaps/>
      <w:color w:val="0F4761" w:themeColor="accent1" w:themeShade="BF"/>
      <w:spacing w:val="5"/>
    </w:rPr>
  </w:style>
  <w:style w:type="paragraph" w:styleId="Header">
    <w:name w:val="header"/>
    <w:basedOn w:val="Normal"/>
    <w:link w:val="HeaderChar"/>
    <w:uiPriority w:val="99"/>
    <w:unhideWhenUsed/>
    <w:rsid w:val="00770B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B2E"/>
  </w:style>
  <w:style w:type="paragraph" w:styleId="Footer">
    <w:name w:val="footer"/>
    <w:basedOn w:val="Normal"/>
    <w:link w:val="FooterChar"/>
    <w:uiPriority w:val="99"/>
    <w:unhideWhenUsed/>
    <w:rsid w:val="00770B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B2E"/>
  </w:style>
  <w:style w:type="character" w:styleId="PlaceholderText">
    <w:name w:val="Placeholder Text"/>
    <w:basedOn w:val="DefaultParagraphFont"/>
    <w:uiPriority w:val="99"/>
    <w:semiHidden/>
    <w:rsid w:val="00EC0548"/>
    <w:rPr>
      <w:color w:val="666666"/>
    </w:rPr>
  </w:style>
  <w:style w:type="character" w:styleId="Hyperlink">
    <w:name w:val="Hyperlink"/>
    <w:basedOn w:val="DefaultParagraphFont"/>
    <w:uiPriority w:val="99"/>
    <w:semiHidden/>
    <w:unhideWhenUsed/>
    <w:rsid w:val="00687F99"/>
    <w:rPr>
      <w:color w:val="467886"/>
      <w:u w:val="single"/>
    </w:rPr>
  </w:style>
  <w:style w:type="character" w:styleId="FollowedHyperlink">
    <w:name w:val="FollowedHyperlink"/>
    <w:basedOn w:val="DefaultParagraphFont"/>
    <w:uiPriority w:val="99"/>
    <w:semiHidden/>
    <w:unhideWhenUsed/>
    <w:rsid w:val="00687F99"/>
    <w:rPr>
      <w:color w:val="96607D"/>
      <w:u w:val="single"/>
    </w:rPr>
  </w:style>
  <w:style w:type="paragraph" w:customStyle="1" w:styleId="msonormal0">
    <w:name w:val="msonormal"/>
    <w:basedOn w:val="Normal"/>
    <w:rsid w:val="00687F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687F99"/>
    <w:pPr>
      <w:pBdr>
        <w:top w:val="single" w:sz="4" w:space="0" w:color="B2B2B2"/>
        <w:left w:val="single" w:sz="4" w:space="0" w:color="B2B2B2"/>
        <w:bottom w:val="single" w:sz="4" w:space="0" w:color="B2B2B2"/>
        <w:right w:val="single" w:sz="4" w:space="0" w:color="B2B2B2"/>
      </w:pBdr>
      <w:shd w:val="clear" w:color="000000" w:fill="FFFFCC"/>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6">
    <w:name w:val="xl66"/>
    <w:basedOn w:val="Normal"/>
    <w:rsid w:val="00687F99"/>
    <w:pPr>
      <w:pBdr>
        <w:bottom w:val="single" w:sz="8" w:space="0" w:color="44B3E1"/>
      </w:pBdr>
      <w:spacing w:before="100" w:beforeAutospacing="1" w:after="100" w:afterAutospacing="1" w:line="240" w:lineRule="auto"/>
    </w:pPr>
    <w:rPr>
      <w:rFonts w:ascii="Times New Roman" w:eastAsia="Times New Roman" w:hAnsi="Times New Roman" w:cs="Times New Roman"/>
      <w:b/>
      <w:bCs/>
      <w:color w:val="0E2841"/>
      <w:kern w:val="0"/>
      <w14:ligatures w14:val="none"/>
    </w:rPr>
  </w:style>
  <w:style w:type="paragraph" w:styleId="NoSpacing">
    <w:name w:val="No Spacing"/>
    <w:link w:val="NoSpacingChar"/>
    <w:uiPriority w:val="1"/>
    <w:qFormat/>
    <w:rsid w:val="00797F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97F5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75659">
      <w:bodyDiv w:val="1"/>
      <w:marLeft w:val="0"/>
      <w:marRight w:val="0"/>
      <w:marTop w:val="0"/>
      <w:marBottom w:val="0"/>
      <w:divBdr>
        <w:top w:val="none" w:sz="0" w:space="0" w:color="auto"/>
        <w:left w:val="none" w:sz="0" w:space="0" w:color="auto"/>
        <w:bottom w:val="none" w:sz="0" w:space="0" w:color="auto"/>
        <w:right w:val="none" w:sz="0" w:space="0" w:color="auto"/>
      </w:divBdr>
    </w:div>
    <w:div w:id="119349474">
      <w:bodyDiv w:val="1"/>
      <w:marLeft w:val="0"/>
      <w:marRight w:val="0"/>
      <w:marTop w:val="0"/>
      <w:marBottom w:val="0"/>
      <w:divBdr>
        <w:top w:val="none" w:sz="0" w:space="0" w:color="auto"/>
        <w:left w:val="none" w:sz="0" w:space="0" w:color="auto"/>
        <w:bottom w:val="none" w:sz="0" w:space="0" w:color="auto"/>
        <w:right w:val="none" w:sz="0" w:space="0" w:color="auto"/>
      </w:divBdr>
    </w:div>
    <w:div w:id="226183378">
      <w:bodyDiv w:val="1"/>
      <w:marLeft w:val="0"/>
      <w:marRight w:val="0"/>
      <w:marTop w:val="0"/>
      <w:marBottom w:val="0"/>
      <w:divBdr>
        <w:top w:val="none" w:sz="0" w:space="0" w:color="auto"/>
        <w:left w:val="none" w:sz="0" w:space="0" w:color="auto"/>
        <w:bottom w:val="none" w:sz="0" w:space="0" w:color="auto"/>
        <w:right w:val="none" w:sz="0" w:space="0" w:color="auto"/>
      </w:divBdr>
    </w:div>
    <w:div w:id="260335414">
      <w:bodyDiv w:val="1"/>
      <w:marLeft w:val="0"/>
      <w:marRight w:val="0"/>
      <w:marTop w:val="0"/>
      <w:marBottom w:val="0"/>
      <w:divBdr>
        <w:top w:val="none" w:sz="0" w:space="0" w:color="auto"/>
        <w:left w:val="none" w:sz="0" w:space="0" w:color="auto"/>
        <w:bottom w:val="none" w:sz="0" w:space="0" w:color="auto"/>
        <w:right w:val="none" w:sz="0" w:space="0" w:color="auto"/>
      </w:divBdr>
    </w:div>
    <w:div w:id="391856853">
      <w:bodyDiv w:val="1"/>
      <w:marLeft w:val="0"/>
      <w:marRight w:val="0"/>
      <w:marTop w:val="0"/>
      <w:marBottom w:val="0"/>
      <w:divBdr>
        <w:top w:val="none" w:sz="0" w:space="0" w:color="auto"/>
        <w:left w:val="none" w:sz="0" w:space="0" w:color="auto"/>
        <w:bottom w:val="none" w:sz="0" w:space="0" w:color="auto"/>
        <w:right w:val="none" w:sz="0" w:space="0" w:color="auto"/>
      </w:divBdr>
    </w:div>
    <w:div w:id="430512792">
      <w:bodyDiv w:val="1"/>
      <w:marLeft w:val="0"/>
      <w:marRight w:val="0"/>
      <w:marTop w:val="0"/>
      <w:marBottom w:val="0"/>
      <w:divBdr>
        <w:top w:val="none" w:sz="0" w:space="0" w:color="auto"/>
        <w:left w:val="none" w:sz="0" w:space="0" w:color="auto"/>
        <w:bottom w:val="none" w:sz="0" w:space="0" w:color="auto"/>
        <w:right w:val="none" w:sz="0" w:space="0" w:color="auto"/>
      </w:divBdr>
    </w:div>
    <w:div w:id="523786614">
      <w:bodyDiv w:val="1"/>
      <w:marLeft w:val="0"/>
      <w:marRight w:val="0"/>
      <w:marTop w:val="0"/>
      <w:marBottom w:val="0"/>
      <w:divBdr>
        <w:top w:val="none" w:sz="0" w:space="0" w:color="auto"/>
        <w:left w:val="none" w:sz="0" w:space="0" w:color="auto"/>
        <w:bottom w:val="none" w:sz="0" w:space="0" w:color="auto"/>
        <w:right w:val="none" w:sz="0" w:space="0" w:color="auto"/>
      </w:divBdr>
    </w:div>
    <w:div w:id="660082964">
      <w:bodyDiv w:val="1"/>
      <w:marLeft w:val="0"/>
      <w:marRight w:val="0"/>
      <w:marTop w:val="0"/>
      <w:marBottom w:val="0"/>
      <w:divBdr>
        <w:top w:val="none" w:sz="0" w:space="0" w:color="auto"/>
        <w:left w:val="none" w:sz="0" w:space="0" w:color="auto"/>
        <w:bottom w:val="none" w:sz="0" w:space="0" w:color="auto"/>
        <w:right w:val="none" w:sz="0" w:space="0" w:color="auto"/>
      </w:divBdr>
    </w:div>
    <w:div w:id="690763968">
      <w:bodyDiv w:val="1"/>
      <w:marLeft w:val="0"/>
      <w:marRight w:val="0"/>
      <w:marTop w:val="0"/>
      <w:marBottom w:val="0"/>
      <w:divBdr>
        <w:top w:val="none" w:sz="0" w:space="0" w:color="auto"/>
        <w:left w:val="none" w:sz="0" w:space="0" w:color="auto"/>
        <w:bottom w:val="none" w:sz="0" w:space="0" w:color="auto"/>
        <w:right w:val="none" w:sz="0" w:space="0" w:color="auto"/>
      </w:divBdr>
    </w:div>
    <w:div w:id="855730099">
      <w:bodyDiv w:val="1"/>
      <w:marLeft w:val="0"/>
      <w:marRight w:val="0"/>
      <w:marTop w:val="0"/>
      <w:marBottom w:val="0"/>
      <w:divBdr>
        <w:top w:val="none" w:sz="0" w:space="0" w:color="auto"/>
        <w:left w:val="none" w:sz="0" w:space="0" w:color="auto"/>
        <w:bottom w:val="none" w:sz="0" w:space="0" w:color="auto"/>
        <w:right w:val="none" w:sz="0" w:space="0" w:color="auto"/>
      </w:divBdr>
    </w:div>
    <w:div w:id="943538312">
      <w:bodyDiv w:val="1"/>
      <w:marLeft w:val="0"/>
      <w:marRight w:val="0"/>
      <w:marTop w:val="0"/>
      <w:marBottom w:val="0"/>
      <w:divBdr>
        <w:top w:val="none" w:sz="0" w:space="0" w:color="auto"/>
        <w:left w:val="none" w:sz="0" w:space="0" w:color="auto"/>
        <w:bottom w:val="none" w:sz="0" w:space="0" w:color="auto"/>
        <w:right w:val="none" w:sz="0" w:space="0" w:color="auto"/>
      </w:divBdr>
    </w:div>
    <w:div w:id="1161652795">
      <w:bodyDiv w:val="1"/>
      <w:marLeft w:val="0"/>
      <w:marRight w:val="0"/>
      <w:marTop w:val="0"/>
      <w:marBottom w:val="0"/>
      <w:divBdr>
        <w:top w:val="none" w:sz="0" w:space="0" w:color="auto"/>
        <w:left w:val="none" w:sz="0" w:space="0" w:color="auto"/>
        <w:bottom w:val="none" w:sz="0" w:space="0" w:color="auto"/>
        <w:right w:val="none" w:sz="0" w:space="0" w:color="auto"/>
      </w:divBdr>
    </w:div>
    <w:div w:id="1178690291">
      <w:bodyDiv w:val="1"/>
      <w:marLeft w:val="0"/>
      <w:marRight w:val="0"/>
      <w:marTop w:val="0"/>
      <w:marBottom w:val="0"/>
      <w:divBdr>
        <w:top w:val="none" w:sz="0" w:space="0" w:color="auto"/>
        <w:left w:val="none" w:sz="0" w:space="0" w:color="auto"/>
        <w:bottom w:val="none" w:sz="0" w:space="0" w:color="auto"/>
        <w:right w:val="none" w:sz="0" w:space="0" w:color="auto"/>
      </w:divBdr>
    </w:div>
    <w:div w:id="1421292492">
      <w:bodyDiv w:val="1"/>
      <w:marLeft w:val="0"/>
      <w:marRight w:val="0"/>
      <w:marTop w:val="0"/>
      <w:marBottom w:val="0"/>
      <w:divBdr>
        <w:top w:val="none" w:sz="0" w:space="0" w:color="auto"/>
        <w:left w:val="none" w:sz="0" w:space="0" w:color="auto"/>
        <w:bottom w:val="none" w:sz="0" w:space="0" w:color="auto"/>
        <w:right w:val="none" w:sz="0" w:space="0" w:color="auto"/>
      </w:divBdr>
    </w:div>
    <w:div w:id="1468165619">
      <w:bodyDiv w:val="1"/>
      <w:marLeft w:val="0"/>
      <w:marRight w:val="0"/>
      <w:marTop w:val="0"/>
      <w:marBottom w:val="0"/>
      <w:divBdr>
        <w:top w:val="none" w:sz="0" w:space="0" w:color="auto"/>
        <w:left w:val="none" w:sz="0" w:space="0" w:color="auto"/>
        <w:bottom w:val="none" w:sz="0" w:space="0" w:color="auto"/>
        <w:right w:val="none" w:sz="0" w:space="0" w:color="auto"/>
      </w:divBdr>
    </w:div>
    <w:div w:id="1589072467">
      <w:bodyDiv w:val="1"/>
      <w:marLeft w:val="0"/>
      <w:marRight w:val="0"/>
      <w:marTop w:val="0"/>
      <w:marBottom w:val="0"/>
      <w:divBdr>
        <w:top w:val="none" w:sz="0" w:space="0" w:color="auto"/>
        <w:left w:val="none" w:sz="0" w:space="0" w:color="auto"/>
        <w:bottom w:val="none" w:sz="0" w:space="0" w:color="auto"/>
        <w:right w:val="none" w:sz="0" w:space="0" w:color="auto"/>
      </w:divBdr>
    </w:div>
    <w:div w:id="1629554885">
      <w:bodyDiv w:val="1"/>
      <w:marLeft w:val="0"/>
      <w:marRight w:val="0"/>
      <w:marTop w:val="0"/>
      <w:marBottom w:val="0"/>
      <w:divBdr>
        <w:top w:val="none" w:sz="0" w:space="0" w:color="auto"/>
        <w:left w:val="none" w:sz="0" w:space="0" w:color="auto"/>
        <w:bottom w:val="none" w:sz="0" w:space="0" w:color="auto"/>
        <w:right w:val="none" w:sz="0" w:space="0" w:color="auto"/>
      </w:divBdr>
    </w:div>
    <w:div w:id="1753350968">
      <w:bodyDiv w:val="1"/>
      <w:marLeft w:val="0"/>
      <w:marRight w:val="0"/>
      <w:marTop w:val="0"/>
      <w:marBottom w:val="0"/>
      <w:divBdr>
        <w:top w:val="none" w:sz="0" w:space="0" w:color="auto"/>
        <w:left w:val="none" w:sz="0" w:space="0" w:color="auto"/>
        <w:bottom w:val="none" w:sz="0" w:space="0" w:color="auto"/>
        <w:right w:val="none" w:sz="0" w:space="0" w:color="auto"/>
      </w:divBdr>
    </w:div>
    <w:div w:id="195443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8E709EA03F4160A0D55C07E1225A03"/>
        <w:category>
          <w:name w:val="General"/>
          <w:gallery w:val="placeholder"/>
        </w:category>
        <w:types>
          <w:type w:val="bbPlcHdr"/>
        </w:types>
        <w:behaviors>
          <w:behavior w:val="content"/>
        </w:behaviors>
        <w:guid w:val="{34E4FB79-E439-4606-998F-BFD0E98043C6}"/>
      </w:docPartPr>
      <w:docPartBody>
        <w:p w:rsidR="00BD2CCD" w:rsidRDefault="004A23A5" w:rsidP="004A23A5">
          <w:pPr>
            <w:pStyle w:val="618E709EA03F4160A0D55C07E1225A03"/>
          </w:pPr>
          <w:r>
            <w:rPr>
              <w:color w:val="0F4761" w:themeColor="accent1" w:themeShade="BF"/>
            </w:rPr>
            <w:t>[Company name]</w:t>
          </w:r>
        </w:p>
      </w:docPartBody>
    </w:docPart>
    <w:docPart>
      <w:docPartPr>
        <w:name w:val="B3A9AF9DA2AA4397A2B5F0E354A14B25"/>
        <w:category>
          <w:name w:val="General"/>
          <w:gallery w:val="placeholder"/>
        </w:category>
        <w:types>
          <w:type w:val="bbPlcHdr"/>
        </w:types>
        <w:behaviors>
          <w:behavior w:val="content"/>
        </w:behaviors>
        <w:guid w:val="{E4DDFDE1-9D59-4177-904E-7E521832F9B3}"/>
      </w:docPartPr>
      <w:docPartBody>
        <w:p w:rsidR="00BD2CCD" w:rsidRDefault="004A23A5" w:rsidP="004A23A5">
          <w:pPr>
            <w:pStyle w:val="B3A9AF9DA2AA4397A2B5F0E354A14B25"/>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Aptos Narrow">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A5"/>
    <w:rsid w:val="001E1FFF"/>
    <w:rsid w:val="004A23A5"/>
    <w:rsid w:val="00615846"/>
    <w:rsid w:val="00BD2CCD"/>
    <w:rsid w:val="00FF6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8E709EA03F4160A0D55C07E1225A03">
    <w:name w:val="618E709EA03F4160A0D55C07E1225A03"/>
    <w:rsid w:val="004A23A5"/>
  </w:style>
  <w:style w:type="paragraph" w:customStyle="1" w:styleId="B3A9AF9DA2AA4397A2B5F0E354A14B25">
    <w:name w:val="B3A9AF9DA2AA4397A2B5F0E354A14B25"/>
    <w:rsid w:val="004A23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ED7D61-6D87-4C48-9F2D-70DF4EB0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2862</TotalTime>
  <Pages>18</Pages>
  <Words>2943</Words>
  <Characters>16778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Time Series Modeling and Forecasting of Georgia Docks Chicken Prices</vt:lpstr>
    </vt:vector>
  </TitlesOfParts>
  <Company>MATH 546 - Summer 2026</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Modeling and Forecasting of Georgia Docks Chicken Prices</dc:title>
  <dc:subject>SARIMA model screening, validation, and 24-month forecast</dc:subject>
  <dc:creator>Monica Yesildirek</dc:creator>
  <cp:keywords/>
  <dc:description/>
  <cp:lastModifiedBy>Monica Yesildirek</cp:lastModifiedBy>
  <cp:revision>79</cp:revision>
  <dcterms:created xsi:type="dcterms:W3CDTF">2026-08-06T19:06:00Z</dcterms:created>
  <dcterms:modified xsi:type="dcterms:W3CDTF">2026-08-08T18:58:00Z</dcterms:modified>
</cp:coreProperties>
</file>