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839116750"/>
        <w:docPartObj>
          <w:docPartGallery w:val="Cover Pages"/>
          <w:docPartUnique/>
        </w:docPartObj>
      </w:sdtPr>
      <w:sdtEndPr>
        <w:rPr>
          <w:rFonts w:asciiTheme="majorHAnsi" w:eastAsiaTheme="majorEastAsia" w:hAnsiTheme="majorHAnsi" w:cstheme="majorBidi"/>
          <w:color w:val="0F4761" w:themeColor="accent1" w:themeShade="BF"/>
          <w:sz w:val="32"/>
          <w:szCs w:val="32"/>
        </w:rPr>
      </w:sdtEndPr>
      <w:sdtContent>
        <w:p w14:paraId="056A8DCD" w14:textId="6C1683EB" w:rsidR="00797F5E" w:rsidRDefault="00797F5E"/>
        <w:tbl>
          <w:tblPr>
            <w:tblpPr w:leftFromText="187" w:rightFromText="187" w:vertAnchor="page" w:horzAnchor="margin" w:tblpY="2656"/>
            <w:tblW w:w="4567" w:type="pct"/>
            <w:tblBorders>
              <w:left w:val="single" w:sz="12" w:space="0" w:color="156082" w:themeColor="accent1"/>
            </w:tblBorders>
            <w:tblCellMar>
              <w:left w:w="144" w:type="dxa"/>
              <w:right w:w="115" w:type="dxa"/>
            </w:tblCellMar>
            <w:tblLook w:val="04A0" w:firstRow="1" w:lastRow="0" w:firstColumn="1" w:lastColumn="0" w:noHBand="0" w:noVBand="1"/>
          </w:tblPr>
          <w:tblGrid>
            <w:gridCol w:w="8536"/>
          </w:tblGrid>
          <w:tr w:rsidR="00CF4D45" w14:paraId="153E9B05" w14:textId="77777777" w:rsidTr="00CF4D45">
            <w:sdt>
              <w:sdtPr>
                <w:rPr>
                  <w:color w:val="0F4761" w:themeColor="accent1" w:themeShade="BF"/>
                  <w:sz w:val="32"/>
                  <w:szCs w:val="40"/>
                </w:rPr>
                <w:alias w:val="Company"/>
                <w:id w:val="13406915"/>
                <w:placeholder>
                  <w:docPart w:val="618E709EA03F4160A0D55C07E1225A03"/>
                </w:placeholder>
                <w:dataBinding w:prefixMappings="xmlns:ns0='http://schemas.openxmlformats.org/officeDocument/2006/extended-properties'" w:xpath="/ns0:Properties[1]/ns0:Company[1]" w:storeItemID="{6668398D-A668-4E3E-A5EB-62B293D839F1}"/>
                <w:text/>
              </w:sdtPr>
              <w:sdtContent>
                <w:tc>
                  <w:tcPr>
                    <w:tcW w:w="8536" w:type="dxa"/>
                    <w:tcMar>
                      <w:top w:w="216" w:type="dxa"/>
                      <w:left w:w="115" w:type="dxa"/>
                      <w:bottom w:w="216" w:type="dxa"/>
                      <w:right w:w="115" w:type="dxa"/>
                    </w:tcMar>
                  </w:tcPr>
                  <w:p w14:paraId="40AF0423" w14:textId="77777777" w:rsidR="00CF4D45" w:rsidRDefault="00CF4D45" w:rsidP="00CF4D45">
                    <w:pPr>
                      <w:pStyle w:val="NoSpacing"/>
                      <w:rPr>
                        <w:color w:val="0F4761" w:themeColor="accent1" w:themeShade="BF"/>
                        <w:sz w:val="24"/>
                      </w:rPr>
                    </w:pPr>
                    <w:r w:rsidRPr="00CF4D45">
                      <w:rPr>
                        <w:color w:val="0F4761" w:themeColor="accent1" w:themeShade="BF"/>
                        <w:sz w:val="32"/>
                        <w:szCs w:val="40"/>
                      </w:rPr>
                      <w:t xml:space="preserve">MATH </w:t>
                    </w:r>
                    <w:r>
                      <w:rPr>
                        <w:color w:val="0F4761" w:themeColor="accent1" w:themeShade="BF"/>
                        <w:sz w:val="32"/>
                        <w:szCs w:val="40"/>
                      </w:rPr>
                      <w:t xml:space="preserve">546 - </w:t>
                    </w:r>
                    <w:r w:rsidRPr="00CF4D45">
                      <w:rPr>
                        <w:color w:val="0F4761" w:themeColor="accent1" w:themeShade="BF"/>
                        <w:sz w:val="32"/>
                        <w:szCs w:val="40"/>
                      </w:rPr>
                      <w:t>Summer 2026</w:t>
                    </w:r>
                  </w:p>
                </w:tc>
              </w:sdtContent>
            </w:sdt>
          </w:tr>
          <w:tr w:rsidR="00CF4D45" w14:paraId="78BD9343" w14:textId="77777777" w:rsidTr="00CF4D45">
            <w:tc>
              <w:tcPr>
                <w:tcW w:w="8536" w:type="dxa"/>
              </w:tcPr>
              <w:sdt>
                <w:sdtPr>
                  <w:rPr>
                    <w:rStyle w:val="TitleChar"/>
                  </w:rPr>
                  <w:alias w:val="Title"/>
                  <w:id w:val="13406919"/>
                  <w:placeholder>
                    <w:docPart w:val="B3A9AF9DA2AA4397A2B5F0E354A14B25"/>
                  </w:placeholder>
                  <w:dataBinding w:prefixMappings="xmlns:ns0='http://schemas.openxmlformats.org/package/2006/metadata/core-properties' xmlns:ns1='http://purl.org/dc/elements/1.1/'" w:xpath="/ns0:coreProperties[1]/ns1:title[1]" w:storeItemID="{6C3C8BC8-F283-45AE-878A-BAB7291924A1}"/>
                  <w:text/>
                </w:sdtPr>
                <w:sdtContent>
                  <w:p w14:paraId="1DCDBC4D" w14:textId="77777777" w:rsidR="00CF4D45" w:rsidRDefault="00CF4D45" w:rsidP="00CF4D45">
                    <w:pPr>
                      <w:pStyle w:val="NoSpacing"/>
                      <w:spacing w:line="216" w:lineRule="auto"/>
                      <w:rPr>
                        <w:rFonts w:asciiTheme="majorHAnsi" w:eastAsiaTheme="majorEastAsia" w:hAnsiTheme="majorHAnsi" w:cstheme="majorBidi"/>
                        <w:color w:val="156082" w:themeColor="accent1"/>
                        <w:sz w:val="88"/>
                        <w:szCs w:val="88"/>
                      </w:rPr>
                    </w:pPr>
                    <w:r w:rsidRPr="0015561B">
                      <w:rPr>
                        <w:rStyle w:val="TitleChar"/>
                      </w:rPr>
                      <w:t>Time Series Modeling and Forecasting of Georgia Docks Chicken Prices</w:t>
                    </w:r>
                  </w:p>
                </w:sdtContent>
              </w:sdt>
            </w:tc>
          </w:tr>
          <w:tr w:rsidR="00CF4D45" w14:paraId="4AF48EEB" w14:textId="77777777" w:rsidTr="00CF4D45">
            <w:trPr>
              <w:trHeight w:val="342"/>
            </w:trPr>
            <w:tc>
              <w:tcPr>
                <w:tcW w:w="8536" w:type="dxa"/>
                <w:tcMar>
                  <w:top w:w="216" w:type="dxa"/>
                  <w:left w:w="115" w:type="dxa"/>
                  <w:bottom w:w="216" w:type="dxa"/>
                  <w:right w:w="115" w:type="dxa"/>
                </w:tcMar>
              </w:tcPr>
              <w:p w14:paraId="1BC76183" w14:textId="067F5EB7" w:rsidR="00CF4D45" w:rsidRDefault="00CF4D45" w:rsidP="00CF4D45">
                <w:pPr>
                  <w:pStyle w:val="NoSpacing"/>
                  <w:rPr>
                    <w:color w:val="0F4761" w:themeColor="accent1" w:themeShade="BF"/>
                    <w:sz w:val="24"/>
                  </w:rPr>
                </w:pPr>
                <w:r w:rsidRPr="00CF4D45">
                  <w:rPr>
                    <w:color w:val="0F4761" w:themeColor="accent1" w:themeShade="BF"/>
                    <w:sz w:val="32"/>
                    <w:szCs w:val="36"/>
                  </w:rPr>
                  <w:t xml:space="preserve">By </w:t>
                </w:r>
                <w:r w:rsidR="0015561B">
                  <w:rPr>
                    <w:color w:val="0F4761" w:themeColor="accent1" w:themeShade="BF"/>
                    <w:sz w:val="32"/>
                    <w:szCs w:val="36"/>
                  </w:rPr>
                  <w:t>Monica Yesildirek</w:t>
                </w:r>
              </w:p>
            </w:tc>
          </w:tr>
        </w:tbl>
        <w:p w14:paraId="3CCC51CA" w14:textId="22884B99" w:rsidR="00797F5E" w:rsidRDefault="00FD1D6A">
          <w:pPr>
            <w:rPr>
              <w:rFonts w:asciiTheme="majorHAnsi" w:eastAsiaTheme="majorEastAsia" w:hAnsiTheme="majorHAnsi" w:cstheme="majorBidi"/>
              <w:color w:val="0F4761" w:themeColor="accent1" w:themeShade="BF"/>
              <w:sz w:val="32"/>
              <w:szCs w:val="32"/>
            </w:rPr>
          </w:pPr>
          <w:r w:rsidRPr="00FD1D6A">
            <w:rPr>
              <w:rFonts w:asciiTheme="majorHAnsi" w:eastAsiaTheme="majorEastAsia" w:hAnsiTheme="majorHAnsi" w:cstheme="majorBidi"/>
              <w:noProof/>
              <w:color w:val="0F4761" w:themeColor="accent1" w:themeShade="BF"/>
              <w:sz w:val="32"/>
              <w:szCs w:val="32"/>
            </w:rPr>
            <mc:AlternateContent>
              <mc:Choice Requires="wpg">
                <w:drawing>
                  <wp:anchor distT="45720" distB="45720" distL="182880" distR="182880" simplePos="0" relativeHeight="251661312" behindDoc="0" locked="0" layoutInCell="1" allowOverlap="1" wp14:anchorId="56356043" wp14:editId="312FDB22">
                    <wp:simplePos x="0" y="0"/>
                    <wp:positionH relativeFrom="margin">
                      <wp:posOffset>-28575</wp:posOffset>
                    </wp:positionH>
                    <wp:positionV relativeFrom="margin">
                      <wp:posOffset>5810250</wp:posOffset>
                    </wp:positionV>
                    <wp:extent cx="5400675" cy="1865765"/>
                    <wp:effectExtent l="0" t="0" r="9525" b="1270"/>
                    <wp:wrapSquare wrapText="bothSides"/>
                    <wp:docPr id="198" name="Group 198"/>
                    <wp:cNvGraphicFramePr/>
                    <a:graphic xmlns:a="http://schemas.openxmlformats.org/drawingml/2006/main">
                      <a:graphicData uri="http://schemas.microsoft.com/office/word/2010/wordprocessingGroup">
                        <wpg:wgp>
                          <wpg:cNvGrpSpPr/>
                          <wpg:grpSpPr>
                            <a:xfrm>
                              <a:off x="0" y="0"/>
                              <a:ext cx="5400675" cy="1865765"/>
                              <a:chOff x="-18976" y="0"/>
                              <a:chExt cx="3586424" cy="1865393"/>
                            </a:xfrm>
                          </wpg:grpSpPr>
                          <wps:wsp>
                            <wps:cNvPr id="199" name="Rectangle 199"/>
                            <wps:cNvSpPr/>
                            <wps:spPr>
                              <a:xfrm>
                                <a:off x="0" y="0"/>
                                <a:ext cx="3567448" cy="270605"/>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F0B92D" w14:textId="5481AEDA" w:rsidR="00FD1D6A" w:rsidRPr="00756355" w:rsidRDefault="00756355" w:rsidP="00756355">
                                  <w:pPr>
                                    <w:rPr>
                                      <w:rFonts w:asciiTheme="majorHAnsi" w:eastAsiaTheme="majorEastAsia" w:hAnsiTheme="majorHAnsi" w:cstheme="majorBidi"/>
                                      <w:b/>
                                      <w:bCs/>
                                      <w:color w:val="FFFFFF" w:themeColor="background1"/>
                                      <w:szCs w:val="28"/>
                                    </w:rPr>
                                  </w:pPr>
                                  <w:r w:rsidRPr="00756355">
                                    <w:rPr>
                                      <w:rFonts w:asciiTheme="majorHAnsi" w:eastAsiaTheme="majorEastAsia" w:hAnsiTheme="majorHAnsi" w:cstheme="majorBidi"/>
                                      <w:b/>
                                      <w:bCs/>
                                      <w:color w:val="FFFFFF" w:themeColor="background1"/>
                                      <w:szCs w:val="28"/>
                                    </w:rPr>
                                    <w:t>Disclosures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18976" y="270605"/>
                                <a:ext cx="3567448" cy="15947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196587" w14:textId="18ECE452" w:rsidR="00FD1D6A" w:rsidRPr="00FD1D6A" w:rsidRDefault="00FD1D6A" w:rsidP="00FD1D6A">
                                  <w:pPr>
                                    <w:rPr>
                                      <w:caps/>
                                      <w:sz w:val="26"/>
                                      <w:szCs w:val="26"/>
                                    </w:rPr>
                                  </w:pPr>
                                  <w:r w:rsidRPr="00FD1D6A">
                                    <w:rPr>
                                      <w:sz w:val="26"/>
                                      <w:szCs w:val="26"/>
                                    </w:rPr>
                                    <w:t>I have read and understood the assignment policies.</w:t>
                                  </w:r>
                                  <w:r w:rsidRPr="00FD1D6A">
                                    <w:rPr>
                                      <w:caps/>
                                      <w:sz w:val="26"/>
                                      <w:szCs w:val="26"/>
                                    </w:rPr>
                                    <w:t xml:space="preserve"> </w:t>
                                  </w:r>
                                  <w:r w:rsidRPr="00FD1D6A">
                                    <w:rPr>
                                      <w:sz w:val="26"/>
                                      <w:szCs w:val="26"/>
                                    </w:rPr>
                                    <w:t>I did not work with any classmates.</w:t>
                                  </w:r>
                                </w:p>
                                <w:p w14:paraId="066933FB" w14:textId="22C69D44" w:rsidR="00FD1D6A" w:rsidRPr="00FD1D6A" w:rsidRDefault="00FD1D6A">
                                  <w:pPr>
                                    <w:rPr>
                                      <w:caps/>
                                      <w:sz w:val="26"/>
                                      <w:szCs w:val="26"/>
                                    </w:rPr>
                                  </w:pPr>
                                  <w:r w:rsidRPr="00FD1D6A">
                                    <w:rPr>
                                      <w:sz w:val="26"/>
                                      <w:szCs w:val="26"/>
                                    </w:rPr>
                                    <w:t>Notebooklm was used to summarize and produce study materials, particularly to combine like concepts spread throughout the readings, recordings, and slides.</w:t>
                                  </w:r>
                                  <w:r w:rsidRPr="00FD1D6A">
                                    <w:rPr>
                                      <w:caps/>
                                      <w:sz w:val="26"/>
                                      <w:szCs w:val="26"/>
                                    </w:rPr>
                                    <w:t xml:space="preserve"> </w:t>
                                  </w:r>
                                  <w:r w:rsidR="003809F5">
                                    <w:rPr>
                                      <w:caps/>
                                      <w:sz w:val="26"/>
                                      <w:szCs w:val="26"/>
                                    </w:rPr>
                                    <w:t>C</w:t>
                                  </w:r>
                                  <w:r w:rsidR="003809F5">
                                    <w:rPr>
                                      <w:sz w:val="26"/>
                                      <w:szCs w:val="26"/>
                                    </w:rPr>
                                    <w:t>laude code was used to aid in taking the original 1200 lines of R code I wrote down to the 238 lines submitted.</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356043" id="Group 198" o:spid="_x0000_s1026" style="position:absolute;margin-left:-2.25pt;margin-top:457.5pt;width:425.25pt;height:146.9pt;z-index:251661312;mso-wrap-distance-left:14.4pt;mso-wrap-distance-top:3.6pt;mso-wrap-distance-right:14.4pt;mso-wrap-distance-bottom:3.6pt;mso-position-horizontal-relative:margin;mso-position-vertical-relative:margin;mso-width-relative:margin;mso-height-relative:margin" coordorigin="-189" coordsize="35864,18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">
                    <v:rect id="Rectangle 199" o:spid="_x0000_s1027" style="position:absolute;width:35674;height:27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" fillcolor="#0f4761 [2404]" stroked="f" strokeweight="1pt">
                      <v:textbox>
                        <w:txbxContent>
                          <w:p w14:paraId="35F0B92D" w14:textId="5481AEDA" w:rsidR="00FD1D6A" w:rsidRPr="00756355" w:rsidRDefault="00756355" w:rsidP="00756355">
                            <w:pPr>
                              <w:rPr>
                                <w:rFonts w:asciiTheme="majorHAnsi" w:eastAsiaTheme="majorEastAsia" w:hAnsiTheme="majorHAnsi" w:cstheme="majorBidi"/>
                                <w:b/>
                                <w:bCs/>
                                <w:color w:val="FFFFFF" w:themeColor="background1"/>
                                <w:szCs w:val="28"/>
                              </w:rPr>
                            </w:pPr>
                            <w:r w:rsidRPr="00756355">
                              <w:rPr>
                                <w:rFonts w:asciiTheme="majorHAnsi" w:eastAsiaTheme="majorEastAsia" w:hAnsiTheme="majorHAnsi" w:cstheme="majorBidi"/>
                                <w:b/>
                                <w:bCs/>
                                <w:color w:val="FFFFFF" w:themeColor="background1"/>
                                <w:szCs w:val="28"/>
                              </w:rPr>
                              <w:t>Disclosures</w:t>
                            </w:r>
                          </w:p>
                        </w:txbxContent>
                      </v:textbox>
                    </v:rect>
                    <v:shapetype id="_x0000_t202" coordsize="21600,21600" o:spt="202" path="m,l,21600r21600,l21600,xe">
                      <v:stroke joinstyle="miter"/>
                      <v:path gradientshapeok="t" o:connecttype="rect"/>
                    </v:shapetype>
                    <v:shape id="Text Box 200" o:spid="_x0000_s1028" type="#_x0000_t202" style="position:absolute;left:-189;top:2706;width:35673;height:15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1A196587" w14:textId="18ECE452" w:rsidR="00FD1D6A" w:rsidRPr="00FD1D6A" w:rsidRDefault="00FD1D6A" w:rsidP="00FD1D6A">
                            <w:pPr>
                              <w:rPr>
                                <w:caps/>
                                <w:sz w:val="26"/>
                                <w:szCs w:val="26"/>
                              </w:rPr>
                            </w:pPr>
                            <w:r w:rsidRPr="00FD1D6A">
                              <w:rPr>
                                <w:sz w:val="26"/>
                                <w:szCs w:val="26"/>
                              </w:rPr>
                              <w:t>I have read and understood the assignment policies.</w:t>
                            </w:r>
                            <w:r w:rsidRPr="00FD1D6A">
                              <w:rPr>
                                <w:caps/>
                                <w:sz w:val="26"/>
                                <w:szCs w:val="26"/>
                              </w:rPr>
                              <w:t xml:space="preserve"> </w:t>
                            </w:r>
                            <w:r w:rsidRPr="00FD1D6A">
                              <w:rPr>
                                <w:sz w:val="26"/>
                                <w:szCs w:val="26"/>
                              </w:rPr>
                              <w:t>I did not work with any classmates.</w:t>
                            </w:r>
                          </w:p>
                          <w:p w14:paraId="066933FB" w14:textId="22C69D44" w:rsidR="00FD1D6A" w:rsidRPr="00FD1D6A" w:rsidRDefault="00FD1D6A">
                            <w:pPr>
                              <w:rPr>
                                <w:caps/>
                                <w:sz w:val="26"/>
                                <w:szCs w:val="26"/>
                              </w:rPr>
                            </w:pPr>
                            <w:r w:rsidRPr="00FD1D6A">
                              <w:rPr>
                                <w:sz w:val="26"/>
                                <w:szCs w:val="26"/>
                              </w:rPr>
                              <w:t>Notebooklm was used to summarize and produce study materials, particularly to combine like concepts spread throughout the readings, recordings, and slides.</w:t>
                            </w:r>
                            <w:r w:rsidRPr="00FD1D6A">
                              <w:rPr>
                                <w:caps/>
                                <w:sz w:val="26"/>
                                <w:szCs w:val="26"/>
                              </w:rPr>
                              <w:t xml:space="preserve"> </w:t>
                            </w:r>
                            <w:r w:rsidR="003809F5">
                              <w:rPr>
                                <w:caps/>
                                <w:sz w:val="26"/>
                                <w:szCs w:val="26"/>
                              </w:rPr>
                              <w:t>C</w:t>
                            </w:r>
                            <w:r w:rsidR="003809F5">
                              <w:rPr>
                                <w:sz w:val="26"/>
                                <w:szCs w:val="26"/>
                              </w:rPr>
                              <w:t>laude code was used to aid in taking the original 1200 lines of R code I wrote down to the 238 lines submitted.</w:t>
                            </w:r>
                          </w:p>
                        </w:txbxContent>
                      </v:textbox>
                    </v:shape>
                    <w10:wrap type="square" anchorx="margin" anchory="margin"/>
                  </v:group>
                </w:pict>
              </mc:Fallback>
            </mc:AlternateContent>
          </w:r>
          <w:r w:rsidR="00CF4D45">
            <w:rPr>
              <w:rFonts w:asciiTheme="majorHAnsi" w:eastAsiaTheme="majorEastAsia" w:hAnsiTheme="majorHAnsi" w:cstheme="majorBidi"/>
              <w:noProof/>
              <w:color w:val="0F4761" w:themeColor="accent1" w:themeShade="BF"/>
              <w:sz w:val="32"/>
              <w:szCs w:val="32"/>
            </w:rPr>
            <mc:AlternateContent>
              <mc:Choice Requires="wps">
                <w:drawing>
                  <wp:anchor distT="0" distB="0" distL="114300" distR="114300" simplePos="0" relativeHeight="251659264" behindDoc="1" locked="0" layoutInCell="1" allowOverlap="1" wp14:anchorId="6424F560" wp14:editId="59D34639">
                    <wp:simplePos x="0" y="0"/>
                    <wp:positionH relativeFrom="margin">
                      <wp:posOffset>-114300</wp:posOffset>
                    </wp:positionH>
                    <wp:positionV relativeFrom="paragraph">
                      <wp:posOffset>226060</wp:posOffset>
                    </wp:positionV>
                    <wp:extent cx="5486400" cy="3952875"/>
                    <wp:effectExtent l="0" t="0" r="0" b="9525"/>
                    <wp:wrapNone/>
                    <wp:docPr id="18" name="Rectangle 18"/>
                    <wp:cNvGraphicFramePr/>
                    <a:graphic xmlns:a="http://schemas.openxmlformats.org/drawingml/2006/main">
                      <a:graphicData uri="http://schemas.microsoft.com/office/word/2010/wordprocessingShape">
                        <wps:wsp>
                          <wps:cNvSpPr/>
                          <wps:spPr>
                            <a:xfrm>
                              <a:off x="0" y="0"/>
                              <a:ext cx="5486400" cy="3952875"/>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8C7B37" id="Rectangle 18" o:spid="_x0000_s1026" style="position:absolute;margin-left:-9pt;margin-top:17.8pt;width:6in;height:311.25pt;z-index:-251657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" fillcolor="#f2f2f2 [3052]" stroked="f" strokeweight="1pt">
                    <w10:wrap anchorx="margin"/>
                  </v:rect>
                </w:pict>
              </mc:Fallback>
            </mc:AlternateContent>
          </w:r>
          <w:r w:rsidR="00CF4D45">
            <w:rPr>
              <w:rFonts w:asciiTheme="majorHAnsi" w:eastAsiaTheme="majorEastAsia" w:hAnsiTheme="majorHAnsi" w:cstheme="majorBidi"/>
              <w:noProof/>
              <w:color w:val="0F4761" w:themeColor="accent1" w:themeShade="BF"/>
              <w:sz w:val="32"/>
              <w:szCs w:val="32"/>
            </w:rPr>
            <w:t xml:space="preserve"> </w:t>
          </w:r>
          <w:r w:rsidR="00797F5E">
            <w:rPr>
              <w:rFonts w:asciiTheme="majorHAnsi" w:eastAsiaTheme="majorEastAsia" w:hAnsiTheme="majorHAnsi" w:cstheme="majorBidi"/>
              <w:color w:val="0F4761" w:themeColor="accent1" w:themeShade="BF"/>
              <w:sz w:val="32"/>
              <w:szCs w:val="32"/>
            </w:rPr>
            <w:br w:type="page"/>
          </w:r>
        </w:p>
      </w:sdtContent>
    </w:sdt>
    <w:p w14:paraId="507C71FC" w14:textId="2EE3C8C5" w:rsidR="00D235EC" w:rsidRDefault="006A54D9" w:rsidP="0037482D">
      <w:pPr>
        <w:pStyle w:val="Heading2"/>
      </w:pPr>
      <w:r>
        <w:lastRenderedPageBreak/>
        <w:t>Introduction</w:t>
      </w:r>
    </w:p>
    <w:p w14:paraId="3B5DCB96" w14:textId="1173153D" w:rsidR="00391A2F" w:rsidRPr="00391A2F" w:rsidRDefault="00391A2F" w:rsidP="00767D50">
      <w:r w:rsidRPr="00391A2F">
        <w:t>The chicken dataset in the astsa package contains 180 monthly observations of whole-bird spot prices at Georgia docks from August 2001 through July 2016, measured in U.S. cents per pound. The series was first evaluated for trend, seasonality, changing variance, unusual observations, and stationarity to determine whether transformation or differencing was required.</w:t>
      </w:r>
    </w:p>
    <w:p w14:paraId="26973258" w14:textId="77777777" w:rsidR="00391A2F" w:rsidRDefault="00391A2F" w:rsidP="00767D50">
      <w:r w:rsidRPr="00391A2F">
        <w:t>The analysis then used the ACF and PACF of the stationary series to identify candidate ARIMA or SARIMA models. Candidates were compared using coefficient estimates, AIC, AICc, parsimony, and residual diagnostics, and the selected model was used to produce a 24-month forecast with prediction intervals.</w:t>
      </w:r>
    </w:p>
    <w:p w14:paraId="30D83D0C" w14:textId="0432A957" w:rsidR="00704A8A" w:rsidRDefault="00717469" w:rsidP="00391A2F">
      <w:pPr>
        <w:pStyle w:val="Heading2"/>
      </w:pPr>
      <w:r>
        <w:t>Preliminary Analysis</w:t>
      </w:r>
    </w:p>
    <w:p w14:paraId="72AAB3B2" w14:textId="77777777" w:rsidR="0037482D" w:rsidRDefault="0037482D" w:rsidP="0037482D">
      <w:pPr>
        <w:pStyle w:val="Heading3"/>
      </w:pPr>
      <w:r w:rsidRPr="0037482D">
        <w:t>Original series and transformation decision</w:t>
      </w:r>
    </w:p>
    <w:p w14:paraId="1F160547" w14:textId="19DE47FA" w:rsidR="00E74528" w:rsidRDefault="00E74528" w:rsidP="00E74528">
      <w:r>
        <w:t>The monthly chicken price series was first examined for trend, seasonality, changing variance, and unusual observations. As shown in Figure 1, prices increased from approximately 65 cents per pound in 2001 to more than 110 cents per pound by 2016, indicating a clear upward trend and changing mean. Short-term fluctuations occur throughout the series, but no consistent seasonal pattern, isolated outlier, or increase in variability is visually apparent.</w:t>
      </w:r>
    </w:p>
    <w:p w14:paraId="12CF83B2" w14:textId="77777777" w:rsidR="00E74528" w:rsidRDefault="00E74528" w:rsidP="00E74528">
      <w:pPr>
        <w:rPr>
          <w:b/>
          <w:bCs/>
        </w:rPr>
      </w:pPr>
      <w:r>
        <w:rPr>
          <w:noProof/>
        </w:rPr>
        <w:drawing>
          <wp:inline distT="0" distB="0" distL="0" distR="0" wp14:anchorId="7E761A6C" wp14:editId="13E08E55">
            <wp:extent cx="5248275" cy="3498850"/>
            <wp:effectExtent l="0" t="0" r="952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53102" cy="3502068"/>
                    </a:xfrm>
                    <a:prstGeom prst="rect">
                      <a:avLst/>
                    </a:prstGeom>
                  </pic:spPr>
                </pic:pic>
              </a:graphicData>
            </a:graphic>
          </wp:inline>
        </w:drawing>
      </w:r>
    </w:p>
    <w:p w14:paraId="200BB50B" w14:textId="58E52184" w:rsidR="00E74528" w:rsidRPr="004A6141" w:rsidRDefault="00E74528" w:rsidP="00E74528">
      <w:pPr>
        <w:rPr>
          <w:b/>
          <w:bCs/>
          <w:color w:val="0F4761" w:themeColor="accent1" w:themeShade="BF"/>
        </w:rPr>
      </w:pPr>
      <w:r w:rsidRPr="004A6141">
        <w:rPr>
          <w:b/>
          <w:bCs/>
          <w:color w:val="0F4761" w:themeColor="accent1" w:themeShade="BF"/>
        </w:rPr>
        <w:t>Figure 1. Monthly chicken price series on the original scale.</w:t>
      </w:r>
    </w:p>
    <w:p w14:paraId="7608050C" w14:textId="397C9146" w:rsidR="0037482D" w:rsidRPr="0037482D" w:rsidRDefault="00E74528" w:rsidP="00E74528">
      <w:pPr>
        <w:rPr>
          <w:b/>
          <w:bCs/>
        </w:rPr>
      </w:pPr>
      <w:r>
        <w:lastRenderedPageBreak/>
        <w:t>Because variability remains relatively stable as the price level increases, a log transformation is not required. The series is therefore retained on the original scale, allowing results and forecasts to remain directly interpretable in cents per pound. The persistent upward trend, however, indicates that differencing should be evaluated before model identification.</w:t>
      </w:r>
      <w:r w:rsidRPr="0037482D">
        <w:rPr>
          <w:b/>
          <w:bCs/>
        </w:rPr>
        <w:t xml:space="preserve"> </w:t>
      </w:r>
    </w:p>
    <w:p w14:paraId="2CB6A5F5" w14:textId="77777777" w:rsidR="0037482D" w:rsidRDefault="0037482D" w:rsidP="00E47273">
      <w:pPr>
        <w:pStyle w:val="Heading3"/>
      </w:pPr>
      <w:r w:rsidRPr="0037482D">
        <w:t>Differencing and stationarity</w:t>
      </w:r>
    </w:p>
    <w:p w14:paraId="629D379E" w14:textId="6B4AD183" w:rsidR="00E74528" w:rsidRDefault="00E74528" w:rsidP="00E74528">
      <w:r>
        <w:t>The sample ACF of the original series was examined to assess whether the changing mean persisted over time. Figure 2 shows strong positive autocorrelation that declines gradually from nearly 1.0 at short lags to about 0.20 after four years, with most correlations remaining above the confidence bound. This slow decay is consistent with nonstationarity and indicates that differencing is required.</w:t>
      </w:r>
    </w:p>
    <w:p w14:paraId="336D5C28" w14:textId="77777777" w:rsidR="00E74528" w:rsidRDefault="00E74528" w:rsidP="00E74528">
      <w:r>
        <w:t>The ACF does not show distinct peaks at 12-month intervals, so seasonal differencing is not clearly indicated from the original series alone. A lag-12 difference was therefore evaluated next to determine whether it removes the changing mean and produces a stationary series.</w:t>
      </w:r>
    </w:p>
    <w:p w14:paraId="7A9C3619" w14:textId="77777777" w:rsidR="00E74528" w:rsidRDefault="00E47273" w:rsidP="00E74528">
      <w:pPr>
        <w:rPr>
          <w:b/>
          <w:color w:val="153D63"/>
        </w:rPr>
      </w:pPr>
      <w:r>
        <w:rPr>
          <w:noProof/>
        </w:rPr>
        <w:drawing>
          <wp:inline distT="0" distB="0" distL="0" distR="0" wp14:anchorId="7E1CBF65" wp14:editId="1A27DFA9">
            <wp:extent cx="5505450" cy="36669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13453" cy="3672295"/>
                    </a:xfrm>
                    <a:prstGeom prst="rect">
                      <a:avLst/>
                    </a:prstGeom>
                    <a:noFill/>
                    <a:ln>
                      <a:noFill/>
                    </a:ln>
                  </pic:spPr>
                </pic:pic>
              </a:graphicData>
            </a:graphic>
          </wp:inline>
        </w:drawing>
      </w:r>
    </w:p>
    <w:p w14:paraId="5E305029" w14:textId="06BC2320" w:rsidR="0037482D" w:rsidRPr="004A6141" w:rsidRDefault="00E47273" w:rsidP="00E74528">
      <w:pPr>
        <w:rPr>
          <w:b/>
          <w:bCs/>
          <w:color w:val="0F4761" w:themeColor="accent1" w:themeShade="BF"/>
        </w:rPr>
      </w:pPr>
      <w:r w:rsidRPr="004A6141">
        <w:rPr>
          <w:b/>
          <w:color w:val="0F4761" w:themeColor="accent1" w:themeShade="BF"/>
        </w:rPr>
        <w:t>Figure 2. Sample autocorrelation function of the original monthly chicken price series.</w:t>
      </w:r>
    </w:p>
    <w:p w14:paraId="0280443B" w14:textId="55418223" w:rsidR="00E74528" w:rsidRDefault="00E74528" w:rsidP="00306A2E">
      <w:r w:rsidRPr="00E74528">
        <w:t xml:space="preserve">The slow decay in the original-series ACF indicated nonstationarity and the need for differencing. A lag-12 seasonal difference was applied so that each monthly price was compared with the same month of the preceding year. As shown in Figure 3, the differenced series </w:t>
      </w:r>
      <w:r w:rsidRPr="00E74528">
        <w:lastRenderedPageBreak/>
        <w:t>fluctuates around a more stable level and no longer shows the persistent upward trend or increasing variance seen in the original series.</w:t>
      </w:r>
    </w:p>
    <w:p w14:paraId="2061C4EC" w14:textId="77777777" w:rsidR="003C277B" w:rsidRDefault="00306A2E">
      <w:pPr>
        <w:rPr>
          <w:b/>
          <w:bCs/>
          <w:color w:val="153D63" w:themeColor="text2" w:themeTint="E6"/>
        </w:rPr>
      </w:pPr>
      <w:r>
        <w:rPr>
          <w:noProof/>
        </w:rPr>
        <w:drawing>
          <wp:inline distT="0" distB="0" distL="0" distR="0" wp14:anchorId="5CE677F2" wp14:editId="79892969">
            <wp:extent cx="5438775" cy="5081114"/>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43238" cy="5085283"/>
                    </a:xfrm>
                    <a:prstGeom prst="rect">
                      <a:avLst/>
                    </a:prstGeom>
                    <a:noFill/>
                    <a:ln>
                      <a:noFill/>
                    </a:ln>
                  </pic:spPr>
                </pic:pic>
              </a:graphicData>
            </a:graphic>
          </wp:inline>
        </w:drawing>
      </w:r>
    </w:p>
    <w:p w14:paraId="3402EF8B" w14:textId="0F573A3C" w:rsidR="008E5D12" w:rsidRPr="004A6141" w:rsidRDefault="00306A2E">
      <w:pPr>
        <w:rPr>
          <w:color w:val="0F4761" w:themeColor="accent1" w:themeShade="BF"/>
        </w:rPr>
      </w:pPr>
      <w:r w:rsidRPr="004A6141">
        <w:rPr>
          <w:b/>
          <w:bCs/>
          <w:color w:val="0F4761" w:themeColor="accent1" w:themeShade="BF"/>
        </w:rPr>
        <w:t xml:space="preserve">Figure 3. Sample autocorrelation function and seasonally differenced monthly chicken price series. </w:t>
      </w:r>
      <w:r w:rsidRPr="004A6141">
        <w:rPr>
          <w:color w:val="0F4761" w:themeColor="accent1" w:themeShade="BF"/>
        </w:rPr>
        <w:t>The upper panel shows the sample ACF after applying a lag-12 difference, and the lower panel shows the resulting differenced series over time.</w:t>
      </w:r>
    </w:p>
    <w:p w14:paraId="1451CBE7" w14:textId="77777777" w:rsidR="00E74528" w:rsidRPr="00E74528" w:rsidRDefault="00E74528" w:rsidP="00E74528">
      <w:r w:rsidRPr="00E74528">
        <w:t>The ACF of the seasonally differenced series crosses zero and gradually returns toward zero, indicating remaining serial dependence but not a clear need for additional ordinary differencing. An augmented Dickey-Fuller test using five lags and a constant rejected the null hypothesis of a unit root (p&lt;.01), supporting stationarity after seasonal differencing. The series used for model identification is therefore</w:t>
      </w:r>
    </w:p>
    <w:p w14:paraId="2108278C" w14:textId="77777777" w:rsidR="00E74528" w:rsidRPr="00E74528" w:rsidRDefault="00E74528" w:rsidP="00E74528">
      <w:r w:rsidRPr="00E74528">
        <w:t>Yₜ = (1 − B</w:t>
      </w:r>
      <w:r w:rsidRPr="00E74528">
        <w:rPr>
          <w:rFonts w:hint="cs"/>
        </w:rPr>
        <w:t>¹²</w:t>
      </w:r>
      <w:r w:rsidRPr="00E74528">
        <w:t xml:space="preserve">) Xₜ = Xₜ − Xₜ₋₁₂.    </w:t>
      </w:r>
      <w:r w:rsidRPr="00E74528">
        <w:tab/>
      </w:r>
      <w:r w:rsidRPr="00E74528">
        <w:tab/>
      </w:r>
      <w:r w:rsidRPr="00E74528">
        <w:tab/>
      </w:r>
      <w:r w:rsidRPr="00E74528">
        <w:tab/>
      </w:r>
      <w:r w:rsidRPr="00E74528">
        <w:tab/>
      </w:r>
      <w:r w:rsidRPr="00E74528">
        <w:tab/>
      </w:r>
      <w:r w:rsidRPr="00E74528">
        <w:tab/>
      </w:r>
      <w:r w:rsidRPr="00E74528">
        <w:tab/>
      </w:r>
      <w:r w:rsidRPr="00E74528">
        <w:tab/>
        <w:t>(1)</w:t>
      </w:r>
    </w:p>
    <w:p w14:paraId="284351E4" w14:textId="50E1FC67" w:rsidR="00E74528" w:rsidRPr="00E74528" w:rsidRDefault="00E74528" w:rsidP="00E74528">
      <w:r w:rsidRPr="00E74528">
        <w:lastRenderedPageBreak/>
        <w:t>Thus, no ordinary difference was used (d=0), while one seasonal difference was applied (D=1) with a 12-month seasonal period.</w:t>
      </w:r>
    </w:p>
    <w:p w14:paraId="6FAC8946" w14:textId="77777777" w:rsidR="00717469" w:rsidRDefault="00717469" w:rsidP="00704A8A">
      <w:pPr>
        <w:pStyle w:val="Heading2"/>
      </w:pPr>
      <w:r>
        <w:t>Model Identification</w:t>
      </w:r>
    </w:p>
    <w:p w14:paraId="6F5038FF" w14:textId="77777777" w:rsidR="003C277B" w:rsidRDefault="003C277B" w:rsidP="00E654F9">
      <w:r w:rsidRPr="003C277B">
        <w:t>Model identification used the ACF and PACF of the stationary lag-12 differenced series. As shown in Figure 4, the ACF exhibits a gradual oscillating decay, while the PACF has its largest spikes at the first two monthly lags followed by smaller correlations. These patterns support a low-order autoregressive or mixed ARMA structure, while the seasonal order is less apparent from the plots alone.</w:t>
      </w:r>
    </w:p>
    <w:p w14:paraId="689C768D" w14:textId="70A5BEC9" w:rsidR="003C277B" w:rsidRDefault="003C277B" w:rsidP="00E654F9">
      <w:r>
        <w:rPr>
          <w:noProof/>
        </w:rPr>
        <w:drawing>
          <wp:inline distT="0" distB="0" distL="0" distR="0" wp14:anchorId="219513D7" wp14:editId="7F36948F">
            <wp:extent cx="5692307" cy="320040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1636" cy="3205645"/>
                    </a:xfrm>
                    <a:prstGeom prst="rect">
                      <a:avLst/>
                    </a:prstGeom>
                    <a:noFill/>
                    <a:ln>
                      <a:noFill/>
                    </a:ln>
                  </pic:spPr>
                </pic:pic>
              </a:graphicData>
            </a:graphic>
          </wp:inline>
        </w:drawing>
      </w:r>
    </w:p>
    <w:p w14:paraId="4E4438B6" w14:textId="603C5295" w:rsidR="003C277B" w:rsidRPr="003C277B" w:rsidRDefault="003C277B" w:rsidP="00E654F9">
      <w:pPr>
        <w:rPr>
          <w:b/>
          <w:bCs/>
          <w:color w:val="153D63" w:themeColor="text2" w:themeTint="E6"/>
        </w:rPr>
      </w:pPr>
      <w:r w:rsidRPr="007371C6">
        <w:rPr>
          <w:b/>
          <w:bCs/>
          <w:color w:val="153D63" w:themeColor="text2" w:themeTint="E6"/>
        </w:rPr>
        <w:t xml:space="preserve">Figure 4. Sample ACF and PACF of the seasonally differenced chicken price series. </w:t>
      </w:r>
      <w:r w:rsidRPr="007371C6">
        <w:rPr>
          <w:color w:val="153D63" w:themeColor="text2" w:themeTint="E6"/>
        </w:rPr>
        <w:t>Lags are displayed in years, with one year corresponding to 12 monthly lags.</w:t>
      </w:r>
    </w:p>
    <w:p w14:paraId="7B3777B7" w14:textId="77777777" w:rsidR="003C277B" w:rsidRDefault="003C277B" w:rsidP="00E654F9">
      <w:r w:rsidRPr="003C277B">
        <w:t>An auto.arima() search was therefore applied to the seasonally differenced series. The lowest AICc was obtained by an ARIMA(3,0,0)×(0,0,1)</w:t>
      </w:r>
      <w:r w:rsidRPr="004B6ABB">
        <w:rPr>
          <w:vertAlign w:val="subscript"/>
        </w:rPr>
        <w:t>12</w:t>
      </w:r>
      <w:r w:rsidRPr="003C277B">
        <w:t>​ model with a nonzero mean (AICc = 318.74), corresponding to a SARIMA(3,0,0)×(0,1,1)</w:t>
      </w:r>
      <w:r w:rsidRPr="004B6ABB">
        <w:rPr>
          <w:vertAlign w:val="subscript"/>
        </w:rPr>
        <w:t>12</w:t>
      </w:r>
      <w:r w:rsidRPr="003C277B">
        <w:t>​ model for the original series. A closely competing ARIMA(2,0,1)×(0,0,1)</w:t>
      </w:r>
      <w:r w:rsidRPr="004B6ABB">
        <w:rPr>
          <w:vertAlign w:val="subscript"/>
        </w:rPr>
        <w:t>12</w:t>
      </w:r>
      <w:r w:rsidRPr="003C277B">
        <w:t>​ model had an AICc of 318.98, while the simpler ARIMA(2,0,0)×(0,0,1)</w:t>
      </w:r>
      <w:r w:rsidRPr="004B6ABB">
        <w:rPr>
          <w:vertAlign w:val="subscript"/>
        </w:rPr>
        <w:t>12​</w:t>
      </w:r>
      <w:r w:rsidRPr="003C277B">
        <w:t xml:space="preserve"> model had an AICc of 321.65. These three models were retained for subsequent fitting and comparison.</w:t>
      </w:r>
    </w:p>
    <w:p w14:paraId="7A060337" w14:textId="77777777" w:rsidR="009A71AA" w:rsidRDefault="009A71AA" w:rsidP="00C63E1F">
      <w:r w:rsidRPr="009A71AA">
        <w:t>The corresponding models for the original series are SARIMA(3,0,0)×(0,1,1)12​, SARIMA(2,0,1)×(0,1,1)12​, and SARIMA(2,0,0)×(0,1,1)12​. Each model includes one seasonal difference (D=1) and no ordinary difference (d=0). Therefore, sarima() represents the nonzero mean through a linear time regressor. The fitted models can be written in the general form</w:t>
      </w:r>
    </w:p>
    <w:p w14:paraId="6D071A04" w14:textId="1616EA0D" w:rsidR="00C63E1F" w:rsidRPr="003C277B" w:rsidRDefault="00C805A2" w:rsidP="00C63E1F">
      <w:pPr>
        <w:rPr>
          <w:rFonts w:eastAsiaTheme="minorEastAsia"/>
        </w:rPr>
      </w:pPr>
      <w:r w:rsidRPr="004B7978">
        <w:lastRenderedPageBreak/>
        <w:t>φ(B)Φ(B¹²)</w:t>
      </w:r>
      <w:r w:rsidR="004B7978">
        <w:t xml:space="preserve"> </w:t>
      </w:r>
      <w:r w:rsidRPr="004B7978">
        <w:t>(1 − B)ᵈ</w:t>
      </w:r>
      <w:r w:rsidR="004B7978">
        <w:t xml:space="preserve"> </w:t>
      </w:r>
      <w:r w:rsidRPr="004B7978">
        <w:t>(1 − B¹²)ᴰ</w:t>
      </w:r>
      <w:r w:rsidR="004B7978">
        <w:t xml:space="preserve"> </w:t>
      </w:r>
      <w:r w:rsidRPr="004B7978">
        <w:t>Xₜ = θ(B)Θ(B¹²)Wₜ</w:t>
      </w:r>
      <w:r w:rsidR="003F0888">
        <w:t>.</w:t>
      </w:r>
      <w:r w:rsidRPr="004B7978">
        <w:t xml:space="preserve">    </w:t>
      </w:r>
      <w:r w:rsidR="004B7978">
        <w:tab/>
      </w:r>
      <w:r w:rsidR="004B7978">
        <w:tab/>
      </w:r>
      <w:r w:rsidR="004B7978">
        <w:tab/>
      </w:r>
      <w:r w:rsidR="004B7978">
        <w:tab/>
      </w:r>
      <w:r w:rsidR="003C600D">
        <w:tab/>
      </w:r>
      <w:r w:rsidR="003C600D">
        <w:tab/>
      </w:r>
      <w:r w:rsidRPr="004B7978">
        <w:t>(2)</w:t>
      </w:r>
    </w:p>
    <w:p w14:paraId="2E05D23B" w14:textId="77777777" w:rsidR="00704A8A" w:rsidRDefault="00717469" w:rsidP="00704A8A">
      <w:pPr>
        <w:pStyle w:val="Heading2"/>
      </w:pPr>
      <w:r>
        <w:t>Candidate Fitting and Comparison</w:t>
      </w:r>
    </w:p>
    <w:p w14:paraId="5334B554" w14:textId="77777777" w:rsidR="00E14F0A" w:rsidRDefault="00E14F0A" w:rsidP="00E14F0A">
      <w:pPr>
        <w:rPr>
          <w:i/>
        </w:rPr>
      </w:pPr>
      <w:r w:rsidRPr="00E14F0A">
        <w:t>The three data-driven candidates identified from the ACF, PACF, and automated search were fitted to the original chicken price series using sarima(). Each model included one seasonal difference at lag 12 and a linear time regressor, while the nonseasonal ARMA orders varied across candidates. The leading SARIMA(3,0,0)×(0,1,1)</w:t>
      </w:r>
      <w:r w:rsidRPr="00E14F0A">
        <w:rPr>
          <w:vertAlign w:val="subscript"/>
        </w:rPr>
        <w:t>12​</w:t>
      </w:r>
      <w:r w:rsidRPr="00E14F0A">
        <w:t xml:space="preserve"> model was compared with the closely competing SARIMA(2,0,1)×(0,1,1)</w:t>
      </w:r>
      <w:r w:rsidRPr="00E14F0A">
        <w:rPr>
          <w:vertAlign w:val="subscript"/>
        </w:rPr>
        <w:t>12​</w:t>
      </w:r>
      <w:r w:rsidRPr="00E14F0A">
        <w:t xml:space="preserve"> model and the simpler SARIMA(2,0,0)×(0,1,1)</w:t>
      </w:r>
      <w:r w:rsidRPr="00E14F0A">
        <w:rPr>
          <w:vertAlign w:val="subscript"/>
        </w:rPr>
        <w:t>12​</w:t>
      </w:r>
      <w:r w:rsidRPr="00E14F0A">
        <w:t xml:space="preserve"> alternative. A documented SARIMA(2,1,0)×(1,0,0)</w:t>
      </w:r>
      <w:r w:rsidRPr="00E14F0A">
        <w:rPr>
          <w:vertAlign w:val="subscript"/>
        </w:rPr>
        <w:t>12</w:t>
      </w:r>
      <w:r w:rsidRPr="00E14F0A">
        <w:t>​ model was also fitted as an external benchmark for the differencing choice. Automated AICc values were used to identify candidate orders, while the final comparison used residual variance and the scaled AIC, AICc, and BIC values returned by sarima() for models fitted to the same original series.</w:t>
      </w:r>
    </w:p>
    <w:p w14:paraId="4608A78B" w14:textId="650A3233" w:rsidR="00CC64F0" w:rsidRPr="0037482D" w:rsidRDefault="00CC64F0" w:rsidP="00CC64F0">
      <w:pPr>
        <w:pStyle w:val="Heading3"/>
      </w:pPr>
      <w:r>
        <w:t>Leading</w:t>
      </w:r>
      <w:r w:rsidRPr="0037482D">
        <w:t xml:space="preserve"> candidate</w:t>
      </w:r>
    </w:p>
    <w:p w14:paraId="5F2ED644" w14:textId="77777777" w:rsidR="00C074E8" w:rsidRDefault="00C074E8" w:rsidP="00E80550">
      <w:r w:rsidRPr="00C074E8">
        <w:t xml:space="preserve">The leading candidate was the SARIMA(3,0,0) </w:t>
      </w:r>
      <w:r w:rsidRPr="00C074E8">
        <w:rPr>
          <w:rFonts w:hint="cs"/>
        </w:rPr>
        <w:t>×</w:t>
      </w:r>
      <w:r w:rsidRPr="00C074E8">
        <w:t xml:space="preserve"> (0,1,1)12 model. It includes three nonseasonal autoregressive terms, one seasonal moving-average term, and a linear time regressor. The coefficient estimates used to construct Equation 3 are summarized in Table 1. The fitted model is </w:t>
      </w:r>
    </w:p>
    <w:p w14:paraId="0CDB32EA" w14:textId="6F669DB8" w:rsidR="00CC64F0" w:rsidRPr="004B7978" w:rsidRDefault="00CC64F0" w:rsidP="00E80550">
      <w:r w:rsidRPr="004B7978">
        <w:t>(1 − 1.8401B + 1.0371B² − 0.1767B³)</w:t>
      </w:r>
      <w:r w:rsidR="004B7978">
        <w:t xml:space="preserve"> </w:t>
      </w:r>
      <w:r w:rsidRPr="004B7978">
        <w:t>(1 − B¹²)</w:t>
      </w:r>
      <w:r w:rsidR="004B7978">
        <w:t xml:space="preserve"> </w:t>
      </w:r>
      <w:r w:rsidRPr="004B7978">
        <w:t>(Xₜ − 0.2833t) = (1 − 0.8806B¹²)</w:t>
      </w:r>
      <w:r w:rsidR="004B7978">
        <w:t xml:space="preserve"> </w:t>
      </w:r>
      <w:r w:rsidRPr="004B7978">
        <w:t>Wₜ</w:t>
      </w:r>
      <w:r w:rsidR="004B7978">
        <w:t>.</w:t>
      </w:r>
      <w:r w:rsidRPr="004B7978">
        <w:t xml:space="preserve">    </w:t>
      </w:r>
      <w:r w:rsidR="004B7978">
        <w:tab/>
      </w:r>
      <w:r w:rsidRPr="004B7978">
        <w:t>(3)</w:t>
      </w:r>
    </w:p>
    <w:p w14:paraId="7CFAF646" w14:textId="77777777" w:rsidR="00C074E8" w:rsidRDefault="00C074E8" w:rsidP="00E80550">
      <w:pPr>
        <w:rPr>
          <w:i/>
        </w:rPr>
      </w:pPr>
      <w:r w:rsidRPr="00C074E8">
        <w:t>All five estimated coefficients were statistically significant at the .05 level. The first two autoregressive terms, seasonal moving-average term, and drift coefficient were highly significant (p &lt; .001), while the third autoregressive term was smaller but remained significant (</w:t>
      </w:r>
      <w:r w:rsidRPr="00C074E8">
        <w:rPr>
          <w:rFonts w:hint="cs"/>
        </w:rPr>
        <w:t>φ̂</w:t>
      </w:r>
      <w:r w:rsidRPr="00C074E8">
        <w:t>3 = 0.1767, p = .025). The positive drift coefficient indicates an underlying increase of approximately 0.2833 cents per pound per month. The model produced an estimated residual variance of 0.317870, an AIC of 1.8941, and an AICc of 1.8963, the lowest values among the three data-driven candidates.</w:t>
      </w:r>
    </w:p>
    <w:p w14:paraId="4BBB668C" w14:textId="17218BC0" w:rsidR="00CC64F0" w:rsidRPr="0060472A" w:rsidRDefault="00CC64F0" w:rsidP="00CC64F0">
      <w:pPr>
        <w:pStyle w:val="Heading3"/>
      </w:pPr>
      <w:r w:rsidRPr="0037482D">
        <w:t>Competing candidate</w:t>
      </w:r>
    </w:p>
    <w:p w14:paraId="6FB614E0" w14:textId="77777777" w:rsidR="00050C26" w:rsidRDefault="00050C26" w:rsidP="00CC64F0">
      <w:r w:rsidRPr="00050C26">
        <w:t xml:space="preserve">The primary competing model was SARIMA(2,0,1) </w:t>
      </w:r>
      <w:r w:rsidRPr="00050C26">
        <w:rPr>
          <w:rFonts w:hint="cs"/>
        </w:rPr>
        <w:t>×</w:t>
      </w:r>
      <w:r w:rsidRPr="00050C26">
        <w:t xml:space="preserve"> (0,1,1)</w:t>
      </w:r>
      <w:r w:rsidRPr="004B6ABB">
        <w:rPr>
          <w:vertAlign w:val="subscript"/>
        </w:rPr>
        <w:t>12</w:t>
      </w:r>
      <w:r w:rsidRPr="00050C26">
        <w:t>. It replaces the third autoregressive term in the leading candidate with a first-order nonseasonal moving-average term while retaining the seasonal moving-average term and linear time regressor. Its coefficient estimates are also summarized in Table 1. The fitted model is</w:t>
      </w:r>
    </w:p>
    <w:p w14:paraId="5BC6F5E3" w14:textId="59971B6F" w:rsidR="00CC64F0" w:rsidRPr="004B7978" w:rsidRDefault="00CC64F0" w:rsidP="00CC64F0">
      <w:r w:rsidRPr="004B7978">
        <w:t>(1 − 1.6137B + 0.6400B²)</w:t>
      </w:r>
      <w:r w:rsidR="004B7978">
        <w:t xml:space="preserve"> </w:t>
      </w:r>
      <w:r w:rsidRPr="004B7978">
        <w:t>(1 − B¹²)</w:t>
      </w:r>
      <w:r w:rsidR="004B7978" w:rsidRPr="004B7978">
        <w:t xml:space="preserve"> </w:t>
      </w:r>
      <w:r w:rsidRPr="004B7978">
        <w:t>(Xₜ − 0.2844t) = (1 + 0.2176B)</w:t>
      </w:r>
      <w:r w:rsidR="004B7978">
        <w:t xml:space="preserve"> </w:t>
      </w:r>
      <w:r w:rsidRPr="004B7978">
        <w:t>(1 − 0.8796B¹²)</w:t>
      </w:r>
      <w:r w:rsidR="004B7978">
        <w:t xml:space="preserve"> </w:t>
      </w:r>
      <w:r w:rsidRPr="004B7978">
        <w:t>Wₜ</w:t>
      </w:r>
      <w:r w:rsidR="003F0888">
        <w:t>.</w:t>
      </w:r>
      <w:r w:rsidRPr="004B7978">
        <w:t xml:space="preserve">    </w:t>
      </w:r>
      <w:r w:rsidR="004B7978">
        <w:tab/>
      </w:r>
      <w:r w:rsidRPr="004B7978">
        <w:t>(4)</w:t>
      </w:r>
    </w:p>
    <w:p w14:paraId="25598410" w14:textId="77777777" w:rsidR="00050C26" w:rsidRPr="00050C26" w:rsidRDefault="00050C26" w:rsidP="00050C26">
      <w:r w:rsidRPr="00050C26">
        <w:t>All five estimated coefficients were statistically significant at the .05 level. The nonseasonal moving-average term was significant (θ̂</w:t>
      </w:r>
      <w:r w:rsidRPr="00050C26">
        <w:rPr>
          <w:vertAlign w:val="subscript"/>
        </w:rPr>
        <w:t>1</w:t>
      </w:r>
      <w:r w:rsidRPr="00050C26">
        <w:t xml:space="preserve"> = 0.2176, </w:t>
      </w:r>
      <w:r w:rsidRPr="00050C26">
        <w:rPr>
          <w:i/>
        </w:rPr>
        <w:t>p</w:t>
      </w:r>
      <w:r w:rsidRPr="00050C26">
        <w:t xml:space="preserve"> = .021), while the seasonal moving-average and drift estimates were nearly identical to those of the leading candidate. The competing </w:t>
      </w:r>
      <w:r w:rsidRPr="00050C26">
        <w:lastRenderedPageBreak/>
        <w:t>model had an estimated residual variance of 0.318216, an AIC of 1.8956, and an AICc of 1.8978. Because the differences in fit were small and both models contained five fitted coefficients, coefficient significance and parsimony alone did not clearly distinguish the two leading candidates.</w:t>
      </w:r>
    </w:p>
    <w:p w14:paraId="2FCE069E" w14:textId="77777777" w:rsidR="0037482D" w:rsidRPr="0037482D" w:rsidRDefault="0060472A" w:rsidP="0060472A">
      <w:pPr>
        <w:pStyle w:val="Heading3"/>
      </w:pPr>
      <w:r>
        <w:t>Candidate-model comparison</w:t>
      </w:r>
    </w:p>
    <w:p w14:paraId="27702073" w14:textId="77777777" w:rsidR="00000809" w:rsidRDefault="00000809">
      <w:r w:rsidRPr="00000809">
        <w:t>The SARIMA(3,0,0)×(0,1,1)</w:t>
      </w:r>
      <w:r w:rsidRPr="00A21669">
        <w:rPr>
          <w:vertAlign w:val="subscript"/>
        </w:rPr>
        <w:t>12</w:t>
      </w:r>
      <w:r w:rsidRPr="00000809">
        <w:t>​ model produced the lowest residual variance (0.317870), AIC (1.8941), and AICc (1.8963) among the three data-driven candidates. The SARIMA(2,0,1)×(0,1,1)</w:t>
      </w:r>
      <w:r w:rsidRPr="00A21669">
        <w:rPr>
          <w:vertAlign w:val="subscript"/>
        </w:rPr>
        <w:t>12</w:t>
      </w:r>
      <w:r w:rsidRPr="00000809">
        <w:t>​ model performed nearly identically, with the same five fitted coefficients and an AICc only 0.0015 higher. The simpler SARIMA(2,0,0)×(0,1,1)</w:t>
      </w:r>
      <w:r w:rsidRPr="00A21669">
        <w:rPr>
          <w:vertAlign w:val="subscript"/>
        </w:rPr>
        <w:t>12</w:t>
      </w:r>
      <w:r w:rsidRPr="00000809">
        <w:t>​ model used four coefficients and had a marginally lower BIC (2.0053 versus 2.0057), but larger residual variance, AIC, and AICc. Because all three models were fitted using sarima(), their scaled information criteria are directly comparable. Overall, the information criteria slightly favored the SARIMA(3,0,0)×(0,1,1)</w:t>
      </w:r>
      <w:r w:rsidRPr="00A21669">
        <w:rPr>
          <w:vertAlign w:val="subscript"/>
        </w:rPr>
        <w:t>12</w:t>
      </w:r>
      <w:r w:rsidRPr="00000809">
        <w:t>​ model, with residual diagnostics used to determine whether this advantage was supported by model adequacy.</w:t>
      </w:r>
    </w:p>
    <w:tbl>
      <w:tblPr>
        <w:tblW w:w="10380" w:type="dxa"/>
        <w:tblLook w:val="04A0" w:firstRow="1" w:lastRow="0" w:firstColumn="1" w:lastColumn="0" w:noHBand="0" w:noVBand="1"/>
      </w:tblPr>
      <w:tblGrid>
        <w:gridCol w:w="1660"/>
        <w:gridCol w:w="2680"/>
        <w:gridCol w:w="1380"/>
        <w:gridCol w:w="2980"/>
        <w:gridCol w:w="1680"/>
      </w:tblGrid>
      <w:tr w:rsidR="00F766BE" w:rsidRPr="00F766BE" w14:paraId="73B0657C" w14:textId="77777777" w:rsidTr="00F766BE">
        <w:trPr>
          <w:trHeight w:val="315"/>
        </w:trPr>
        <w:tc>
          <w:tcPr>
            <w:tcW w:w="1660" w:type="dxa"/>
            <w:tcBorders>
              <w:top w:val="single" w:sz="4" w:space="0" w:color="156082"/>
              <w:left w:val="single" w:sz="4" w:space="0" w:color="156082"/>
              <w:bottom w:val="single" w:sz="12" w:space="0" w:color="auto"/>
              <w:right w:val="single" w:sz="4" w:space="0" w:color="156082"/>
            </w:tcBorders>
            <w:shd w:val="clear" w:color="auto" w:fill="auto"/>
            <w:noWrap/>
            <w:vAlign w:val="bottom"/>
            <w:hideMark/>
          </w:tcPr>
          <w:p w14:paraId="12721690" w14:textId="77777777" w:rsidR="00F766BE" w:rsidRPr="00F766BE" w:rsidRDefault="00F766BE" w:rsidP="00F766BE">
            <w:pPr>
              <w:spacing w:after="0" w:line="240" w:lineRule="auto"/>
              <w:rPr>
                <w:rFonts w:ascii="Aptos Narrow" w:eastAsia="Times New Roman" w:hAnsi="Aptos Narrow" w:cs="Times New Roman"/>
                <w:b/>
                <w:bCs/>
                <w:color w:val="0E2841"/>
                <w:kern w:val="0"/>
                <w:sz w:val="22"/>
                <w:szCs w:val="22"/>
                <w14:ligatures w14:val="none"/>
              </w:rPr>
            </w:pPr>
            <w:r w:rsidRPr="00F766BE">
              <w:rPr>
                <w:rFonts w:ascii="Aptos Narrow" w:eastAsia="Times New Roman" w:hAnsi="Aptos Narrow" w:cs="Times New Roman"/>
                <w:b/>
                <w:bCs/>
                <w:color w:val="0E2841"/>
                <w:kern w:val="0"/>
                <w:sz w:val="22"/>
                <w:szCs w:val="22"/>
                <w14:ligatures w14:val="none"/>
              </w:rPr>
              <w:t>Parameter</w:t>
            </w:r>
          </w:p>
        </w:tc>
        <w:tc>
          <w:tcPr>
            <w:tcW w:w="2680" w:type="dxa"/>
            <w:tcBorders>
              <w:top w:val="single" w:sz="4" w:space="0" w:color="156082"/>
              <w:left w:val="single" w:sz="4" w:space="0" w:color="156082"/>
              <w:bottom w:val="single" w:sz="12" w:space="0" w:color="auto"/>
              <w:right w:val="single" w:sz="4" w:space="0" w:color="156082"/>
            </w:tcBorders>
            <w:shd w:val="clear" w:color="auto" w:fill="auto"/>
            <w:noWrap/>
            <w:vAlign w:val="bottom"/>
            <w:hideMark/>
          </w:tcPr>
          <w:p w14:paraId="3DD83C6C" w14:textId="77777777" w:rsidR="00F766BE" w:rsidRPr="00F766BE" w:rsidRDefault="00F766BE" w:rsidP="00F766BE">
            <w:pPr>
              <w:spacing w:after="0" w:line="240" w:lineRule="auto"/>
              <w:rPr>
                <w:rFonts w:ascii="Aptos Narrow" w:eastAsia="Times New Roman" w:hAnsi="Aptos Narrow" w:cs="Times New Roman"/>
                <w:b/>
                <w:bCs/>
                <w:color w:val="0E2841"/>
                <w:kern w:val="0"/>
                <w:sz w:val="22"/>
                <w:szCs w:val="22"/>
                <w14:ligatures w14:val="none"/>
              </w:rPr>
            </w:pPr>
            <w:r w:rsidRPr="00F766BE">
              <w:rPr>
                <w:rFonts w:ascii="Aptos Narrow" w:eastAsia="Times New Roman" w:hAnsi="Aptos Narrow" w:cs="Times New Roman"/>
                <w:b/>
                <w:bCs/>
                <w:color w:val="0E2841"/>
                <w:kern w:val="0"/>
                <w:sz w:val="22"/>
                <w:szCs w:val="22"/>
                <w14:ligatures w14:val="none"/>
              </w:rPr>
              <w:t>Leading Estimate (SE)</w:t>
            </w:r>
          </w:p>
        </w:tc>
        <w:tc>
          <w:tcPr>
            <w:tcW w:w="1380" w:type="dxa"/>
            <w:tcBorders>
              <w:top w:val="single" w:sz="4" w:space="0" w:color="156082"/>
              <w:left w:val="single" w:sz="4" w:space="0" w:color="156082"/>
              <w:bottom w:val="single" w:sz="12" w:space="0" w:color="auto"/>
              <w:right w:val="single" w:sz="4" w:space="0" w:color="156082"/>
            </w:tcBorders>
            <w:shd w:val="clear" w:color="auto" w:fill="auto"/>
            <w:noWrap/>
            <w:vAlign w:val="bottom"/>
            <w:hideMark/>
          </w:tcPr>
          <w:p w14:paraId="2B92D839" w14:textId="77777777" w:rsidR="00F766BE" w:rsidRPr="00F766BE" w:rsidRDefault="00F766BE" w:rsidP="00F766BE">
            <w:pPr>
              <w:spacing w:after="0" w:line="240" w:lineRule="auto"/>
              <w:rPr>
                <w:rFonts w:ascii="Aptos Narrow" w:eastAsia="Times New Roman" w:hAnsi="Aptos Narrow" w:cs="Times New Roman"/>
                <w:b/>
                <w:bCs/>
                <w:color w:val="0E2841"/>
                <w:kern w:val="0"/>
                <w:sz w:val="22"/>
                <w:szCs w:val="22"/>
                <w14:ligatures w14:val="none"/>
              </w:rPr>
            </w:pPr>
            <w:r w:rsidRPr="00F766BE">
              <w:rPr>
                <w:rFonts w:ascii="Aptos Narrow" w:eastAsia="Times New Roman" w:hAnsi="Aptos Narrow" w:cs="Times New Roman"/>
                <w:b/>
                <w:bCs/>
                <w:color w:val="0E2841"/>
                <w:kern w:val="0"/>
                <w:sz w:val="22"/>
                <w:szCs w:val="22"/>
                <w14:ligatures w14:val="none"/>
              </w:rPr>
              <w:t>Leading p</w:t>
            </w:r>
          </w:p>
        </w:tc>
        <w:tc>
          <w:tcPr>
            <w:tcW w:w="2980" w:type="dxa"/>
            <w:tcBorders>
              <w:top w:val="single" w:sz="4" w:space="0" w:color="156082"/>
              <w:left w:val="single" w:sz="4" w:space="0" w:color="156082"/>
              <w:bottom w:val="single" w:sz="12" w:space="0" w:color="auto"/>
              <w:right w:val="single" w:sz="4" w:space="0" w:color="156082"/>
            </w:tcBorders>
            <w:shd w:val="clear" w:color="auto" w:fill="auto"/>
            <w:noWrap/>
            <w:vAlign w:val="bottom"/>
            <w:hideMark/>
          </w:tcPr>
          <w:p w14:paraId="3B7DC625" w14:textId="77777777" w:rsidR="00F766BE" w:rsidRPr="00F766BE" w:rsidRDefault="00F766BE" w:rsidP="00F766BE">
            <w:pPr>
              <w:spacing w:after="0" w:line="240" w:lineRule="auto"/>
              <w:rPr>
                <w:rFonts w:ascii="Aptos Narrow" w:eastAsia="Times New Roman" w:hAnsi="Aptos Narrow" w:cs="Times New Roman"/>
                <w:b/>
                <w:bCs/>
                <w:color w:val="0E2841"/>
                <w:kern w:val="0"/>
                <w:sz w:val="22"/>
                <w:szCs w:val="22"/>
                <w14:ligatures w14:val="none"/>
              </w:rPr>
            </w:pPr>
            <w:r w:rsidRPr="00F766BE">
              <w:rPr>
                <w:rFonts w:ascii="Aptos Narrow" w:eastAsia="Times New Roman" w:hAnsi="Aptos Narrow" w:cs="Times New Roman"/>
                <w:b/>
                <w:bCs/>
                <w:color w:val="0E2841"/>
                <w:kern w:val="0"/>
                <w:sz w:val="22"/>
                <w:szCs w:val="22"/>
                <w14:ligatures w14:val="none"/>
              </w:rPr>
              <w:t>Competing Estimate (SE)</w:t>
            </w:r>
          </w:p>
        </w:tc>
        <w:tc>
          <w:tcPr>
            <w:tcW w:w="1680" w:type="dxa"/>
            <w:tcBorders>
              <w:top w:val="single" w:sz="4" w:space="0" w:color="156082"/>
              <w:left w:val="single" w:sz="4" w:space="0" w:color="156082"/>
              <w:bottom w:val="single" w:sz="12" w:space="0" w:color="auto"/>
              <w:right w:val="single" w:sz="4" w:space="0" w:color="156082"/>
            </w:tcBorders>
            <w:shd w:val="clear" w:color="auto" w:fill="auto"/>
            <w:noWrap/>
            <w:vAlign w:val="bottom"/>
            <w:hideMark/>
          </w:tcPr>
          <w:p w14:paraId="63273F33" w14:textId="77777777" w:rsidR="00F766BE" w:rsidRPr="00F766BE" w:rsidRDefault="00F766BE" w:rsidP="00F766BE">
            <w:pPr>
              <w:spacing w:after="0" w:line="240" w:lineRule="auto"/>
              <w:rPr>
                <w:rFonts w:ascii="Aptos Narrow" w:eastAsia="Times New Roman" w:hAnsi="Aptos Narrow" w:cs="Times New Roman"/>
                <w:b/>
                <w:bCs/>
                <w:color w:val="0E2841"/>
                <w:kern w:val="0"/>
                <w:sz w:val="22"/>
                <w:szCs w:val="22"/>
                <w14:ligatures w14:val="none"/>
              </w:rPr>
            </w:pPr>
            <w:r w:rsidRPr="00F766BE">
              <w:rPr>
                <w:rFonts w:ascii="Aptos Narrow" w:eastAsia="Times New Roman" w:hAnsi="Aptos Narrow" w:cs="Times New Roman"/>
                <w:b/>
                <w:bCs/>
                <w:color w:val="0E2841"/>
                <w:kern w:val="0"/>
                <w:sz w:val="22"/>
                <w:szCs w:val="22"/>
                <w14:ligatures w14:val="none"/>
              </w:rPr>
              <w:t>Competing p</w:t>
            </w:r>
          </w:p>
        </w:tc>
      </w:tr>
      <w:tr w:rsidR="00F766BE" w:rsidRPr="00F766BE" w14:paraId="3D150A4A" w14:textId="77777777" w:rsidTr="00F766BE">
        <w:trPr>
          <w:trHeight w:val="285"/>
        </w:trPr>
        <w:tc>
          <w:tcPr>
            <w:tcW w:w="1660" w:type="dxa"/>
            <w:tcBorders>
              <w:top w:val="single" w:sz="12" w:space="0" w:color="auto"/>
              <w:left w:val="single" w:sz="4" w:space="0" w:color="156082"/>
              <w:bottom w:val="single" w:sz="4" w:space="0" w:color="156082"/>
              <w:right w:val="single" w:sz="4" w:space="0" w:color="156082"/>
            </w:tcBorders>
            <w:shd w:val="clear" w:color="C0E6F5" w:fill="C0E6F5"/>
            <w:noWrap/>
            <w:vAlign w:val="bottom"/>
            <w:hideMark/>
          </w:tcPr>
          <w:p w14:paraId="51323DB5"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AR(1)</w:t>
            </w:r>
          </w:p>
        </w:tc>
        <w:tc>
          <w:tcPr>
            <w:tcW w:w="2680" w:type="dxa"/>
            <w:tcBorders>
              <w:top w:val="single" w:sz="12" w:space="0" w:color="auto"/>
              <w:left w:val="single" w:sz="4" w:space="0" w:color="156082"/>
              <w:bottom w:val="single" w:sz="4" w:space="0" w:color="156082"/>
              <w:right w:val="single" w:sz="4" w:space="0" w:color="156082"/>
            </w:tcBorders>
            <w:shd w:val="clear" w:color="C0E6F5" w:fill="C0E6F5"/>
            <w:noWrap/>
            <w:vAlign w:val="bottom"/>
            <w:hideMark/>
          </w:tcPr>
          <w:p w14:paraId="0F7625BE"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1.8401 (0.0763)</w:t>
            </w:r>
          </w:p>
        </w:tc>
        <w:tc>
          <w:tcPr>
            <w:tcW w:w="1380" w:type="dxa"/>
            <w:tcBorders>
              <w:top w:val="single" w:sz="12" w:space="0" w:color="auto"/>
              <w:left w:val="single" w:sz="4" w:space="0" w:color="156082"/>
              <w:bottom w:val="single" w:sz="4" w:space="0" w:color="156082"/>
              <w:right w:val="single" w:sz="4" w:space="0" w:color="156082"/>
            </w:tcBorders>
            <w:shd w:val="clear" w:color="C0E6F5" w:fill="C0E6F5"/>
            <w:noWrap/>
            <w:vAlign w:val="bottom"/>
            <w:hideMark/>
          </w:tcPr>
          <w:p w14:paraId="4292AD76"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c>
          <w:tcPr>
            <w:tcW w:w="2980" w:type="dxa"/>
            <w:tcBorders>
              <w:top w:val="single" w:sz="12" w:space="0" w:color="auto"/>
              <w:left w:val="single" w:sz="4" w:space="0" w:color="156082"/>
              <w:bottom w:val="single" w:sz="4" w:space="0" w:color="156082"/>
              <w:right w:val="single" w:sz="4" w:space="0" w:color="156082"/>
            </w:tcBorders>
            <w:shd w:val="clear" w:color="C0E6F5" w:fill="C0E6F5"/>
            <w:noWrap/>
            <w:vAlign w:val="bottom"/>
            <w:hideMark/>
          </w:tcPr>
          <w:p w14:paraId="10154DA1"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1.6137 (0.0761)</w:t>
            </w:r>
          </w:p>
        </w:tc>
        <w:tc>
          <w:tcPr>
            <w:tcW w:w="1680" w:type="dxa"/>
            <w:tcBorders>
              <w:top w:val="single" w:sz="12" w:space="0" w:color="auto"/>
              <w:left w:val="single" w:sz="4" w:space="0" w:color="156082"/>
              <w:bottom w:val="single" w:sz="4" w:space="0" w:color="156082"/>
              <w:right w:val="single" w:sz="4" w:space="0" w:color="156082"/>
            </w:tcBorders>
            <w:shd w:val="clear" w:color="C0E6F5" w:fill="C0E6F5"/>
            <w:noWrap/>
            <w:vAlign w:val="bottom"/>
            <w:hideMark/>
          </w:tcPr>
          <w:p w14:paraId="1C4FD116"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r>
      <w:tr w:rsidR="00F766BE" w:rsidRPr="00F766BE" w14:paraId="692D1788" w14:textId="77777777" w:rsidTr="00F766BE">
        <w:trPr>
          <w:trHeight w:val="285"/>
        </w:trPr>
        <w:tc>
          <w:tcPr>
            <w:tcW w:w="166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6B3895CB"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AR(2)</w:t>
            </w:r>
          </w:p>
        </w:tc>
        <w:tc>
          <w:tcPr>
            <w:tcW w:w="26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74D76F93"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-1.0371 (0.1422)</w:t>
            </w:r>
          </w:p>
        </w:tc>
        <w:tc>
          <w:tcPr>
            <w:tcW w:w="13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07E04AB9"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c>
          <w:tcPr>
            <w:tcW w:w="29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429F5979"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-0.6400 (0.0762)</w:t>
            </w:r>
          </w:p>
        </w:tc>
        <w:tc>
          <w:tcPr>
            <w:tcW w:w="16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76384E9F"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r>
      <w:tr w:rsidR="00F766BE" w:rsidRPr="00F766BE" w14:paraId="058E6AB7" w14:textId="77777777" w:rsidTr="00F766BE">
        <w:trPr>
          <w:trHeight w:val="285"/>
        </w:trPr>
        <w:tc>
          <w:tcPr>
            <w:tcW w:w="166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01EC9A4C"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AR(3)</w:t>
            </w:r>
          </w:p>
        </w:tc>
        <w:tc>
          <w:tcPr>
            <w:tcW w:w="26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6CE7F993"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0.1767 (0.0781)</w:t>
            </w:r>
          </w:p>
        </w:tc>
        <w:tc>
          <w:tcPr>
            <w:tcW w:w="13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1A5E5D70" w14:textId="77777777" w:rsidR="00F766BE" w:rsidRPr="00F766BE" w:rsidRDefault="00F766BE" w:rsidP="00910646">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0.025</w:t>
            </w:r>
          </w:p>
        </w:tc>
        <w:tc>
          <w:tcPr>
            <w:tcW w:w="29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313364C9"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w:t>
            </w:r>
          </w:p>
        </w:tc>
        <w:tc>
          <w:tcPr>
            <w:tcW w:w="16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1BAE375B"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w:t>
            </w:r>
          </w:p>
        </w:tc>
      </w:tr>
      <w:tr w:rsidR="00F766BE" w:rsidRPr="00F766BE" w14:paraId="6C6182AB" w14:textId="77777777" w:rsidTr="00F766BE">
        <w:trPr>
          <w:trHeight w:val="285"/>
        </w:trPr>
        <w:tc>
          <w:tcPr>
            <w:tcW w:w="166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43A09AFD"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MA(1)</w:t>
            </w:r>
          </w:p>
        </w:tc>
        <w:tc>
          <w:tcPr>
            <w:tcW w:w="26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0366B1B5"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w:t>
            </w:r>
          </w:p>
        </w:tc>
        <w:tc>
          <w:tcPr>
            <w:tcW w:w="13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15BC1F69"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w:t>
            </w:r>
          </w:p>
        </w:tc>
        <w:tc>
          <w:tcPr>
            <w:tcW w:w="29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6D0DAA87"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0.2176 (0.0936)</w:t>
            </w:r>
          </w:p>
        </w:tc>
        <w:tc>
          <w:tcPr>
            <w:tcW w:w="16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4053DD67" w14:textId="77777777" w:rsidR="00F766BE" w:rsidRPr="00F766BE" w:rsidRDefault="00F766BE" w:rsidP="00910646">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0.021</w:t>
            </w:r>
          </w:p>
        </w:tc>
      </w:tr>
      <w:tr w:rsidR="00F766BE" w:rsidRPr="00F766BE" w14:paraId="2C2BCF95" w14:textId="77777777" w:rsidTr="00F766BE">
        <w:trPr>
          <w:trHeight w:val="285"/>
        </w:trPr>
        <w:tc>
          <w:tcPr>
            <w:tcW w:w="166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73DEDA8C"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Seasonal MA(1)</w:t>
            </w:r>
          </w:p>
        </w:tc>
        <w:tc>
          <w:tcPr>
            <w:tcW w:w="26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47731396"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-0.8806 (0.0802)</w:t>
            </w:r>
          </w:p>
        </w:tc>
        <w:tc>
          <w:tcPr>
            <w:tcW w:w="13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24C33C88"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c>
          <w:tcPr>
            <w:tcW w:w="29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70F5FB7B"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-0.8796 (0.0799)</w:t>
            </w:r>
          </w:p>
        </w:tc>
        <w:tc>
          <w:tcPr>
            <w:tcW w:w="1680" w:type="dxa"/>
            <w:tcBorders>
              <w:top w:val="single" w:sz="4" w:space="0" w:color="156082"/>
              <w:left w:val="single" w:sz="4" w:space="0" w:color="156082"/>
              <w:bottom w:val="single" w:sz="4" w:space="0" w:color="156082"/>
              <w:right w:val="single" w:sz="4" w:space="0" w:color="156082"/>
            </w:tcBorders>
            <w:shd w:val="clear" w:color="C0E6F5" w:fill="C0E6F5"/>
            <w:noWrap/>
            <w:vAlign w:val="bottom"/>
            <w:hideMark/>
          </w:tcPr>
          <w:p w14:paraId="27BD81DD"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r>
      <w:tr w:rsidR="00F766BE" w:rsidRPr="00F766BE" w14:paraId="3EE54CF1" w14:textId="77777777" w:rsidTr="00F766BE">
        <w:trPr>
          <w:trHeight w:val="70"/>
        </w:trPr>
        <w:tc>
          <w:tcPr>
            <w:tcW w:w="166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27C747DE"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Drift</w:t>
            </w:r>
          </w:p>
        </w:tc>
        <w:tc>
          <w:tcPr>
            <w:tcW w:w="26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231CE718"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0.2833 (0.0371)</w:t>
            </w:r>
          </w:p>
        </w:tc>
        <w:tc>
          <w:tcPr>
            <w:tcW w:w="13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26DA3639"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c>
          <w:tcPr>
            <w:tcW w:w="29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1C5EEC85"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0.2844 (0.0356)</w:t>
            </w:r>
          </w:p>
        </w:tc>
        <w:tc>
          <w:tcPr>
            <w:tcW w:w="1680" w:type="dxa"/>
            <w:tcBorders>
              <w:top w:val="single" w:sz="4" w:space="0" w:color="156082"/>
              <w:left w:val="single" w:sz="4" w:space="0" w:color="156082"/>
              <w:bottom w:val="single" w:sz="4" w:space="0" w:color="156082"/>
              <w:right w:val="single" w:sz="4" w:space="0" w:color="156082"/>
            </w:tcBorders>
            <w:shd w:val="clear" w:color="auto" w:fill="auto"/>
            <w:noWrap/>
            <w:vAlign w:val="bottom"/>
            <w:hideMark/>
          </w:tcPr>
          <w:p w14:paraId="00A46C8F" w14:textId="77777777" w:rsidR="00F766BE" w:rsidRPr="00F766BE" w:rsidRDefault="00F766BE" w:rsidP="00F766BE">
            <w:pPr>
              <w:spacing w:after="0" w:line="240" w:lineRule="auto"/>
              <w:rPr>
                <w:rFonts w:ascii="Aptos Narrow" w:eastAsia="Times New Roman" w:hAnsi="Aptos Narrow" w:cs="Times New Roman"/>
                <w:color w:val="000000"/>
                <w:kern w:val="0"/>
                <w:sz w:val="22"/>
                <w:szCs w:val="22"/>
                <w14:ligatures w14:val="none"/>
              </w:rPr>
            </w:pPr>
            <w:r w:rsidRPr="00F766BE">
              <w:rPr>
                <w:rFonts w:ascii="Aptos Narrow" w:eastAsia="Times New Roman" w:hAnsi="Aptos Narrow" w:cs="Times New Roman"/>
                <w:color w:val="000000"/>
                <w:kern w:val="0"/>
                <w:sz w:val="22"/>
                <w:szCs w:val="22"/>
                <w14:ligatures w14:val="none"/>
              </w:rPr>
              <w:t>&lt; .001</w:t>
            </w:r>
          </w:p>
        </w:tc>
      </w:tr>
    </w:tbl>
    <w:p w14:paraId="0AD21CFC" w14:textId="240CD633" w:rsidR="00891B39" w:rsidRDefault="00891B39">
      <w:pPr>
        <w:rPr>
          <w:b/>
          <w:color w:val="153D63"/>
        </w:rPr>
      </w:pPr>
      <w:r>
        <w:rPr>
          <w:b/>
          <w:color w:val="153D63"/>
        </w:rPr>
        <w:t xml:space="preserve">Table 1. Coefficient estimates </w:t>
      </w:r>
      <w:r w:rsidR="00097A7A">
        <w:rPr>
          <w:b/>
          <w:color w:val="153D63"/>
        </w:rPr>
        <w:t xml:space="preserve">of </w:t>
      </w:r>
      <w:r>
        <w:rPr>
          <w:b/>
          <w:color w:val="153D63"/>
        </w:rPr>
        <w:t>models fitted to the monthly chicken price series.</w:t>
      </w:r>
    </w:p>
    <w:tbl>
      <w:tblPr>
        <w:tblW w:w="8820" w:type="dxa"/>
        <w:tblLook w:val="04A0" w:firstRow="1" w:lastRow="0" w:firstColumn="1" w:lastColumn="0" w:noHBand="0" w:noVBand="1"/>
      </w:tblPr>
      <w:tblGrid>
        <w:gridCol w:w="1563"/>
        <w:gridCol w:w="896"/>
        <w:gridCol w:w="1277"/>
        <w:gridCol w:w="1535"/>
        <w:gridCol w:w="859"/>
        <w:gridCol w:w="781"/>
        <w:gridCol w:w="718"/>
        <w:gridCol w:w="1191"/>
      </w:tblGrid>
      <w:tr w:rsidR="00097A7A" w:rsidRPr="00097A7A" w14:paraId="3B2A11DD" w14:textId="77777777" w:rsidTr="00097A7A">
        <w:trPr>
          <w:trHeight w:val="307"/>
        </w:trPr>
        <w:tc>
          <w:tcPr>
            <w:tcW w:w="1563"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738463AA"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Model</w:t>
            </w:r>
          </w:p>
        </w:tc>
        <w:tc>
          <w:tcPr>
            <w:tcW w:w="896"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38F06DAA"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Params</w:t>
            </w:r>
          </w:p>
        </w:tc>
        <w:tc>
          <w:tcPr>
            <w:tcW w:w="1277"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7AABE4CD"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Sig.squared</w:t>
            </w:r>
          </w:p>
        </w:tc>
        <w:tc>
          <w:tcPr>
            <w:tcW w:w="1535"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2F7588B5"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Log.Likelihood</w:t>
            </w:r>
          </w:p>
        </w:tc>
        <w:tc>
          <w:tcPr>
            <w:tcW w:w="859"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4B0A4186"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AIC</w:t>
            </w:r>
          </w:p>
        </w:tc>
        <w:tc>
          <w:tcPr>
            <w:tcW w:w="781"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63808D3D"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AICc</w:t>
            </w:r>
          </w:p>
        </w:tc>
        <w:tc>
          <w:tcPr>
            <w:tcW w:w="718"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55B75C03"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BIC</w:t>
            </w:r>
          </w:p>
        </w:tc>
        <w:tc>
          <w:tcPr>
            <w:tcW w:w="1191" w:type="dxa"/>
            <w:tcBorders>
              <w:top w:val="single" w:sz="4" w:space="0" w:color="156082"/>
              <w:left w:val="single" w:sz="4" w:space="0" w:color="auto"/>
              <w:bottom w:val="single" w:sz="12" w:space="0" w:color="auto"/>
              <w:right w:val="single" w:sz="4" w:space="0" w:color="auto"/>
            </w:tcBorders>
            <w:shd w:val="clear" w:color="auto" w:fill="auto"/>
            <w:noWrap/>
            <w:vAlign w:val="bottom"/>
            <w:hideMark/>
          </w:tcPr>
          <w:p w14:paraId="7651CCC8" w14:textId="77777777" w:rsidR="00F766BE" w:rsidRPr="00F766BE" w:rsidRDefault="00F766BE" w:rsidP="00F766BE">
            <w:pPr>
              <w:spacing w:after="0" w:line="240" w:lineRule="auto"/>
              <w:rPr>
                <w:rFonts w:ascii="Aptos Narrow" w:eastAsia="Times New Roman" w:hAnsi="Aptos Narrow" w:cs="Times New Roman"/>
                <w:b/>
                <w:bCs/>
                <w:color w:val="0F4761" w:themeColor="accent1" w:themeShade="BF"/>
                <w:kern w:val="0"/>
                <w:sz w:val="22"/>
                <w:szCs w:val="22"/>
                <w14:ligatures w14:val="none"/>
              </w:rPr>
            </w:pPr>
            <w:r w:rsidRPr="00F766BE">
              <w:rPr>
                <w:rFonts w:ascii="Aptos Narrow" w:eastAsia="Times New Roman" w:hAnsi="Aptos Narrow" w:cs="Times New Roman"/>
                <w:b/>
                <w:bCs/>
                <w:color w:val="0F4761" w:themeColor="accent1" w:themeShade="BF"/>
                <w:kern w:val="0"/>
                <w:sz w:val="22"/>
                <w:szCs w:val="22"/>
                <w14:ligatures w14:val="none"/>
              </w:rPr>
              <w:t>Delta.AICc</w:t>
            </w:r>
          </w:p>
        </w:tc>
      </w:tr>
      <w:tr w:rsidR="00097A7A" w:rsidRPr="00F766BE" w14:paraId="5AEC59C9" w14:textId="77777777" w:rsidTr="00097A7A">
        <w:trPr>
          <w:trHeight w:val="278"/>
        </w:trPr>
        <w:tc>
          <w:tcPr>
            <w:tcW w:w="1563" w:type="dxa"/>
            <w:tcBorders>
              <w:top w:val="single" w:sz="12" w:space="0" w:color="auto"/>
              <w:left w:val="single" w:sz="4" w:space="0" w:color="auto"/>
              <w:bottom w:val="nil"/>
              <w:right w:val="single" w:sz="4" w:space="0" w:color="auto"/>
            </w:tcBorders>
            <w:shd w:val="clear" w:color="C0E6F5" w:fill="C0E6F5"/>
            <w:noWrap/>
            <w:vAlign w:val="bottom"/>
            <w:hideMark/>
          </w:tcPr>
          <w:p w14:paraId="067A1A3D" w14:textId="77777777" w:rsidR="00F766BE" w:rsidRPr="00097A7A"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SARIMA(3,0,0)</w:t>
            </w:r>
          </w:p>
          <w:p w14:paraId="57FC12D7" w14:textId="6B1457D3"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x(0,1,1)[12]</w:t>
            </w:r>
          </w:p>
        </w:tc>
        <w:tc>
          <w:tcPr>
            <w:tcW w:w="896" w:type="dxa"/>
            <w:tcBorders>
              <w:top w:val="single" w:sz="12" w:space="0" w:color="auto"/>
              <w:left w:val="single" w:sz="4" w:space="0" w:color="auto"/>
              <w:bottom w:val="nil"/>
              <w:right w:val="single" w:sz="4" w:space="0" w:color="auto"/>
            </w:tcBorders>
            <w:shd w:val="clear" w:color="C0E6F5" w:fill="C0E6F5"/>
            <w:noWrap/>
            <w:vAlign w:val="bottom"/>
            <w:hideMark/>
          </w:tcPr>
          <w:p w14:paraId="7C6BADD9"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5</w:t>
            </w:r>
          </w:p>
        </w:tc>
        <w:tc>
          <w:tcPr>
            <w:tcW w:w="1277" w:type="dxa"/>
            <w:tcBorders>
              <w:top w:val="single" w:sz="12" w:space="0" w:color="auto"/>
              <w:left w:val="single" w:sz="4" w:space="0" w:color="auto"/>
              <w:bottom w:val="nil"/>
              <w:right w:val="single" w:sz="4" w:space="0" w:color="auto"/>
            </w:tcBorders>
            <w:shd w:val="clear" w:color="C0E6F5" w:fill="C0E6F5"/>
            <w:noWrap/>
            <w:vAlign w:val="bottom"/>
            <w:hideMark/>
          </w:tcPr>
          <w:p w14:paraId="49F965AD"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0.31787</w:t>
            </w:r>
          </w:p>
        </w:tc>
        <w:tc>
          <w:tcPr>
            <w:tcW w:w="1535" w:type="dxa"/>
            <w:tcBorders>
              <w:top w:val="single" w:sz="12" w:space="0" w:color="auto"/>
              <w:left w:val="single" w:sz="4" w:space="0" w:color="auto"/>
              <w:bottom w:val="nil"/>
              <w:right w:val="single" w:sz="4" w:space="0" w:color="auto"/>
            </w:tcBorders>
            <w:shd w:val="clear" w:color="C0E6F5" w:fill="C0E6F5"/>
            <w:noWrap/>
            <w:vAlign w:val="bottom"/>
            <w:hideMark/>
          </w:tcPr>
          <w:p w14:paraId="7FBE83D2"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-153.10739</w:t>
            </w:r>
          </w:p>
        </w:tc>
        <w:tc>
          <w:tcPr>
            <w:tcW w:w="859" w:type="dxa"/>
            <w:tcBorders>
              <w:top w:val="single" w:sz="12" w:space="0" w:color="auto"/>
              <w:left w:val="single" w:sz="4" w:space="0" w:color="auto"/>
              <w:bottom w:val="nil"/>
              <w:right w:val="single" w:sz="4" w:space="0" w:color="auto"/>
            </w:tcBorders>
            <w:shd w:val="clear" w:color="C0E6F5" w:fill="C0E6F5"/>
            <w:noWrap/>
            <w:vAlign w:val="bottom"/>
            <w:hideMark/>
          </w:tcPr>
          <w:p w14:paraId="4AD417A9"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1.894</w:t>
            </w:r>
          </w:p>
        </w:tc>
        <w:tc>
          <w:tcPr>
            <w:tcW w:w="781" w:type="dxa"/>
            <w:tcBorders>
              <w:top w:val="single" w:sz="12" w:space="0" w:color="auto"/>
              <w:left w:val="single" w:sz="4" w:space="0" w:color="auto"/>
              <w:bottom w:val="nil"/>
              <w:right w:val="single" w:sz="4" w:space="0" w:color="auto"/>
            </w:tcBorders>
            <w:shd w:val="clear" w:color="C0E6F5" w:fill="C0E6F5"/>
            <w:noWrap/>
            <w:vAlign w:val="bottom"/>
            <w:hideMark/>
          </w:tcPr>
          <w:p w14:paraId="459C7859"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1.896</w:t>
            </w:r>
          </w:p>
        </w:tc>
        <w:tc>
          <w:tcPr>
            <w:tcW w:w="718" w:type="dxa"/>
            <w:tcBorders>
              <w:top w:val="single" w:sz="12" w:space="0" w:color="auto"/>
              <w:left w:val="single" w:sz="4" w:space="0" w:color="auto"/>
              <w:bottom w:val="nil"/>
              <w:right w:val="single" w:sz="4" w:space="0" w:color="auto"/>
            </w:tcBorders>
            <w:shd w:val="clear" w:color="C0E6F5" w:fill="C0E6F5"/>
            <w:noWrap/>
            <w:vAlign w:val="bottom"/>
            <w:hideMark/>
          </w:tcPr>
          <w:p w14:paraId="1EC1D2E3"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2.006</w:t>
            </w:r>
          </w:p>
        </w:tc>
        <w:tc>
          <w:tcPr>
            <w:tcW w:w="1191" w:type="dxa"/>
            <w:tcBorders>
              <w:top w:val="single" w:sz="12" w:space="0" w:color="auto"/>
              <w:left w:val="single" w:sz="4" w:space="0" w:color="auto"/>
              <w:bottom w:val="nil"/>
              <w:right w:val="single" w:sz="4" w:space="0" w:color="auto"/>
            </w:tcBorders>
            <w:shd w:val="clear" w:color="C0E6F5" w:fill="C0E6F5"/>
            <w:noWrap/>
            <w:vAlign w:val="bottom"/>
            <w:hideMark/>
          </w:tcPr>
          <w:p w14:paraId="0CC41F2B"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0.000</w:t>
            </w:r>
          </w:p>
        </w:tc>
      </w:tr>
      <w:tr w:rsidR="00F766BE" w:rsidRPr="00F766BE" w14:paraId="507DC248" w14:textId="77777777" w:rsidTr="00097A7A">
        <w:trPr>
          <w:trHeight w:val="278"/>
        </w:trPr>
        <w:tc>
          <w:tcPr>
            <w:tcW w:w="1563" w:type="dxa"/>
            <w:tcBorders>
              <w:top w:val="nil"/>
              <w:left w:val="single" w:sz="4" w:space="0" w:color="auto"/>
              <w:bottom w:val="nil"/>
              <w:right w:val="single" w:sz="4" w:space="0" w:color="auto"/>
            </w:tcBorders>
            <w:shd w:val="clear" w:color="auto" w:fill="auto"/>
            <w:noWrap/>
            <w:vAlign w:val="bottom"/>
            <w:hideMark/>
          </w:tcPr>
          <w:p w14:paraId="51D7FAD5" w14:textId="77777777" w:rsidR="00F766BE" w:rsidRPr="00097A7A"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SARIMA(2,0,1)</w:t>
            </w:r>
          </w:p>
          <w:p w14:paraId="383D5175" w14:textId="154D4EE2"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x(0,1,1)[12]</w:t>
            </w:r>
          </w:p>
        </w:tc>
        <w:tc>
          <w:tcPr>
            <w:tcW w:w="896" w:type="dxa"/>
            <w:tcBorders>
              <w:top w:val="nil"/>
              <w:left w:val="single" w:sz="4" w:space="0" w:color="auto"/>
              <w:bottom w:val="nil"/>
              <w:right w:val="single" w:sz="4" w:space="0" w:color="auto"/>
            </w:tcBorders>
            <w:shd w:val="clear" w:color="auto" w:fill="auto"/>
            <w:noWrap/>
            <w:vAlign w:val="bottom"/>
            <w:hideMark/>
          </w:tcPr>
          <w:p w14:paraId="236ABC63"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5</w:t>
            </w:r>
          </w:p>
        </w:tc>
        <w:tc>
          <w:tcPr>
            <w:tcW w:w="1277" w:type="dxa"/>
            <w:tcBorders>
              <w:top w:val="nil"/>
              <w:left w:val="single" w:sz="4" w:space="0" w:color="auto"/>
              <w:bottom w:val="nil"/>
              <w:right w:val="single" w:sz="4" w:space="0" w:color="auto"/>
            </w:tcBorders>
            <w:shd w:val="clear" w:color="auto" w:fill="auto"/>
            <w:noWrap/>
            <w:vAlign w:val="bottom"/>
            <w:hideMark/>
          </w:tcPr>
          <w:p w14:paraId="50C9F55C"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0.31822</w:t>
            </w:r>
          </w:p>
        </w:tc>
        <w:tc>
          <w:tcPr>
            <w:tcW w:w="1535" w:type="dxa"/>
            <w:tcBorders>
              <w:top w:val="nil"/>
              <w:left w:val="single" w:sz="4" w:space="0" w:color="auto"/>
              <w:bottom w:val="nil"/>
              <w:right w:val="single" w:sz="4" w:space="0" w:color="auto"/>
            </w:tcBorders>
            <w:shd w:val="clear" w:color="auto" w:fill="auto"/>
            <w:noWrap/>
            <w:vAlign w:val="bottom"/>
            <w:hideMark/>
          </w:tcPr>
          <w:p w14:paraId="6ED6AAA1"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-153.22941</w:t>
            </w:r>
          </w:p>
        </w:tc>
        <w:tc>
          <w:tcPr>
            <w:tcW w:w="859" w:type="dxa"/>
            <w:tcBorders>
              <w:top w:val="nil"/>
              <w:left w:val="single" w:sz="4" w:space="0" w:color="auto"/>
              <w:bottom w:val="nil"/>
              <w:right w:val="single" w:sz="4" w:space="0" w:color="auto"/>
            </w:tcBorders>
            <w:shd w:val="clear" w:color="auto" w:fill="auto"/>
            <w:noWrap/>
            <w:vAlign w:val="bottom"/>
            <w:hideMark/>
          </w:tcPr>
          <w:p w14:paraId="3C5CC505"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1.896</w:t>
            </w:r>
          </w:p>
        </w:tc>
        <w:tc>
          <w:tcPr>
            <w:tcW w:w="781" w:type="dxa"/>
            <w:tcBorders>
              <w:top w:val="nil"/>
              <w:left w:val="single" w:sz="4" w:space="0" w:color="auto"/>
              <w:bottom w:val="nil"/>
              <w:right w:val="single" w:sz="4" w:space="0" w:color="auto"/>
            </w:tcBorders>
            <w:shd w:val="clear" w:color="auto" w:fill="auto"/>
            <w:noWrap/>
            <w:vAlign w:val="bottom"/>
            <w:hideMark/>
          </w:tcPr>
          <w:p w14:paraId="4DFF2543"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1.898</w:t>
            </w:r>
          </w:p>
        </w:tc>
        <w:tc>
          <w:tcPr>
            <w:tcW w:w="718" w:type="dxa"/>
            <w:tcBorders>
              <w:top w:val="nil"/>
              <w:left w:val="single" w:sz="4" w:space="0" w:color="auto"/>
              <w:bottom w:val="nil"/>
              <w:right w:val="single" w:sz="4" w:space="0" w:color="auto"/>
            </w:tcBorders>
            <w:shd w:val="clear" w:color="auto" w:fill="auto"/>
            <w:noWrap/>
            <w:vAlign w:val="bottom"/>
            <w:hideMark/>
          </w:tcPr>
          <w:p w14:paraId="50454A04"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2.007</w:t>
            </w:r>
          </w:p>
        </w:tc>
        <w:tc>
          <w:tcPr>
            <w:tcW w:w="1191" w:type="dxa"/>
            <w:tcBorders>
              <w:top w:val="nil"/>
              <w:left w:val="single" w:sz="4" w:space="0" w:color="auto"/>
              <w:bottom w:val="nil"/>
              <w:right w:val="single" w:sz="4" w:space="0" w:color="auto"/>
            </w:tcBorders>
            <w:shd w:val="clear" w:color="auto" w:fill="auto"/>
            <w:noWrap/>
            <w:vAlign w:val="bottom"/>
            <w:hideMark/>
          </w:tcPr>
          <w:p w14:paraId="0D354AA8"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0.001</w:t>
            </w:r>
          </w:p>
        </w:tc>
      </w:tr>
      <w:tr w:rsidR="00097A7A" w:rsidRPr="00F766BE" w14:paraId="6A8618B9" w14:textId="77777777" w:rsidTr="00097A7A">
        <w:trPr>
          <w:trHeight w:val="278"/>
        </w:trPr>
        <w:tc>
          <w:tcPr>
            <w:tcW w:w="1563" w:type="dxa"/>
            <w:tcBorders>
              <w:top w:val="nil"/>
              <w:left w:val="single" w:sz="4" w:space="0" w:color="auto"/>
              <w:bottom w:val="single" w:sz="4" w:space="0" w:color="156082"/>
              <w:right w:val="single" w:sz="4" w:space="0" w:color="auto"/>
            </w:tcBorders>
            <w:shd w:val="clear" w:color="C0E6F5" w:fill="C0E6F5"/>
            <w:noWrap/>
            <w:vAlign w:val="bottom"/>
            <w:hideMark/>
          </w:tcPr>
          <w:p w14:paraId="5E6DF1FA" w14:textId="77777777" w:rsidR="00F766BE" w:rsidRPr="00097A7A"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SARIMA(2,0,0)</w:t>
            </w:r>
          </w:p>
          <w:p w14:paraId="0393274A" w14:textId="65BEA933"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x(0,1,1)[12]</w:t>
            </w:r>
          </w:p>
        </w:tc>
        <w:tc>
          <w:tcPr>
            <w:tcW w:w="896" w:type="dxa"/>
            <w:tcBorders>
              <w:top w:val="nil"/>
              <w:left w:val="single" w:sz="4" w:space="0" w:color="auto"/>
              <w:bottom w:val="single" w:sz="4" w:space="0" w:color="156082"/>
              <w:right w:val="single" w:sz="4" w:space="0" w:color="auto"/>
            </w:tcBorders>
            <w:shd w:val="clear" w:color="C0E6F5" w:fill="C0E6F5"/>
            <w:noWrap/>
            <w:vAlign w:val="bottom"/>
            <w:hideMark/>
          </w:tcPr>
          <w:p w14:paraId="3F570146"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4</w:t>
            </w:r>
          </w:p>
        </w:tc>
        <w:tc>
          <w:tcPr>
            <w:tcW w:w="1277" w:type="dxa"/>
            <w:tcBorders>
              <w:top w:val="nil"/>
              <w:left w:val="single" w:sz="4" w:space="0" w:color="auto"/>
              <w:bottom w:val="single" w:sz="4" w:space="0" w:color="156082"/>
              <w:right w:val="single" w:sz="4" w:space="0" w:color="auto"/>
            </w:tcBorders>
            <w:shd w:val="clear" w:color="C0E6F5" w:fill="C0E6F5"/>
            <w:noWrap/>
            <w:vAlign w:val="bottom"/>
            <w:hideMark/>
          </w:tcPr>
          <w:p w14:paraId="07D8A789"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0.33120</w:t>
            </w:r>
          </w:p>
        </w:tc>
        <w:tc>
          <w:tcPr>
            <w:tcW w:w="1535" w:type="dxa"/>
            <w:tcBorders>
              <w:top w:val="nil"/>
              <w:left w:val="single" w:sz="4" w:space="0" w:color="auto"/>
              <w:bottom w:val="single" w:sz="4" w:space="0" w:color="156082"/>
              <w:right w:val="single" w:sz="4" w:space="0" w:color="auto"/>
            </w:tcBorders>
            <w:shd w:val="clear" w:color="C0E6F5" w:fill="C0E6F5"/>
            <w:noWrap/>
            <w:vAlign w:val="bottom"/>
            <w:hideMark/>
          </w:tcPr>
          <w:p w14:paraId="1D9FE2BA"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-155.63632</w:t>
            </w:r>
          </w:p>
        </w:tc>
        <w:tc>
          <w:tcPr>
            <w:tcW w:w="859" w:type="dxa"/>
            <w:tcBorders>
              <w:top w:val="nil"/>
              <w:left w:val="single" w:sz="4" w:space="0" w:color="auto"/>
              <w:bottom w:val="single" w:sz="4" w:space="0" w:color="156082"/>
              <w:right w:val="single" w:sz="4" w:space="0" w:color="auto"/>
            </w:tcBorders>
            <w:shd w:val="clear" w:color="C0E6F5" w:fill="C0E6F5"/>
            <w:noWrap/>
            <w:vAlign w:val="bottom"/>
            <w:hideMark/>
          </w:tcPr>
          <w:p w14:paraId="19C9B6A4"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1.912</w:t>
            </w:r>
          </w:p>
        </w:tc>
        <w:tc>
          <w:tcPr>
            <w:tcW w:w="781" w:type="dxa"/>
            <w:tcBorders>
              <w:top w:val="nil"/>
              <w:left w:val="single" w:sz="4" w:space="0" w:color="auto"/>
              <w:bottom w:val="single" w:sz="4" w:space="0" w:color="156082"/>
              <w:right w:val="single" w:sz="4" w:space="0" w:color="auto"/>
            </w:tcBorders>
            <w:shd w:val="clear" w:color="C0E6F5" w:fill="C0E6F5"/>
            <w:noWrap/>
            <w:vAlign w:val="bottom"/>
            <w:hideMark/>
          </w:tcPr>
          <w:p w14:paraId="6A70667A"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1.914</w:t>
            </w:r>
          </w:p>
        </w:tc>
        <w:tc>
          <w:tcPr>
            <w:tcW w:w="718" w:type="dxa"/>
            <w:tcBorders>
              <w:top w:val="nil"/>
              <w:left w:val="single" w:sz="4" w:space="0" w:color="auto"/>
              <w:bottom w:val="single" w:sz="4" w:space="0" w:color="156082"/>
              <w:right w:val="single" w:sz="4" w:space="0" w:color="auto"/>
            </w:tcBorders>
            <w:shd w:val="clear" w:color="C0E6F5" w:fill="C0E6F5"/>
            <w:noWrap/>
            <w:vAlign w:val="bottom"/>
            <w:hideMark/>
          </w:tcPr>
          <w:p w14:paraId="7518394C"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2.005</w:t>
            </w:r>
          </w:p>
        </w:tc>
        <w:tc>
          <w:tcPr>
            <w:tcW w:w="1191" w:type="dxa"/>
            <w:tcBorders>
              <w:top w:val="nil"/>
              <w:left w:val="single" w:sz="4" w:space="0" w:color="auto"/>
              <w:bottom w:val="single" w:sz="4" w:space="0" w:color="156082"/>
              <w:right w:val="single" w:sz="4" w:space="0" w:color="auto"/>
            </w:tcBorders>
            <w:shd w:val="clear" w:color="C0E6F5" w:fill="C0E6F5"/>
            <w:noWrap/>
            <w:vAlign w:val="bottom"/>
            <w:hideMark/>
          </w:tcPr>
          <w:p w14:paraId="3D5B16CA" w14:textId="77777777" w:rsidR="00F766BE" w:rsidRPr="00F766BE" w:rsidRDefault="00F766BE" w:rsidP="00F766BE">
            <w:pPr>
              <w:spacing w:after="0" w:line="240" w:lineRule="auto"/>
              <w:rPr>
                <w:rFonts w:ascii="Aptos Narrow" w:eastAsia="Times New Roman" w:hAnsi="Aptos Narrow" w:cs="Times New Roman"/>
                <w:kern w:val="0"/>
                <w:sz w:val="22"/>
                <w:szCs w:val="22"/>
                <w14:ligatures w14:val="none"/>
              </w:rPr>
            </w:pPr>
            <w:r w:rsidRPr="00F766BE">
              <w:rPr>
                <w:rFonts w:ascii="Aptos Narrow" w:eastAsia="Times New Roman" w:hAnsi="Aptos Narrow" w:cs="Times New Roman"/>
                <w:kern w:val="0"/>
                <w:sz w:val="22"/>
                <w:szCs w:val="22"/>
                <w14:ligatures w14:val="none"/>
              </w:rPr>
              <w:t>0.017</w:t>
            </w:r>
          </w:p>
        </w:tc>
      </w:tr>
    </w:tbl>
    <w:p w14:paraId="48A6EDC5" w14:textId="5429D69F" w:rsidR="00F766BE" w:rsidRPr="00F766BE" w:rsidRDefault="00F766BE">
      <w:pPr>
        <w:rPr>
          <w:b/>
          <w:color w:val="153D63"/>
        </w:rPr>
      </w:pPr>
      <w:r>
        <w:rPr>
          <w:b/>
          <w:color w:val="153D63"/>
        </w:rPr>
        <w:t>Table 2. Comparison of candidate SARIMA models fitted to the monthly chicken price series.</w:t>
      </w:r>
    </w:p>
    <w:p w14:paraId="39AEB382" w14:textId="77777777" w:rsidR="00704A8A" w:rsidRDefault="00717469" w:rsidP="00704A8A">
      <w:pPr>
        <w:pStyle w:val="Heading2"/>
      </w:pPr>
      <w:r>
        <w:t>Model Diagnostics</w:t>
      </w:r>
    </w:p>
    <w:p w14:paraId="7E295265" w14:textId="77777777" w:rsidR="001F4CA8" w:rsidRDefault="001F4CA8" w:rsidP="001F4CA8">
      <w:r>
        <w:t>Residual diagnostics were examined to determine whether the two leading candidates adequately accounted for the dependence in the chicken price series. For each model, the standardized residual time plot, residual ACF, normal Q-Q plot, and Ljung-Box p-values were evaluated for remaining serial correlation, changing variance, unusual observations, and departures from normality before the final model was selected.</w:t>
      </w:r>
    </w:p>
    <w:p w14:paraId="124AFA89" w14:textId="77777777" w:rsidR="001F4CA8" w:rsidRDefault="001F4CA8" w:rsidP="001F4CA8">
      <w:pPr>
        <w:pStyle w:val="Heading3"/>
      </w:pPr>
      <w:r>
        <w:lastRenderedPageBreak/>
        <w:t>Leading candidate</w:t>
      </w:r>
    </w:p>
    <w:p w14:paraId="617A0766" w14:textId="77777777" w:rsidR="001F281E" w:rsidRDefault="00926675" w:rsidP="001F4CA8">
      <w:r w:rsidRPr="00926675">
        <w:t xml:space="preserve">The residuals from the SARIMA(3,0,0) </w:t>
      </w:r>
      <w:r w:rsidRPr="00926675">
        <w:rPr>
          <w:rFonts w:hint="cs"/>
        </w:rPr>
        <w:t>×</w:t>
      </w:r>
      <w:r w:rsidRPr="00926675">
        <w:t xml:space="preserve"> (0,1,1)₁₂ model were first examined to determine whether the leading candidate behaved approximately as white noise.</w:t>
      </w:r>
      <w:r w:rsidR="001F281E">
        <w:rPr>
          <w:noProof/>
        </w:rPr>
        <w:drawing>
          <wp:inline distT="0" distB="0" distL="0" distR="0" wp14:anchorId="7C3A2B1C" wp14:editId="5E94C084">
            <wp:extent cx="5938520" cy="5938520"/>
            <wp:effectExtent l="0" t="0" r="508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8520" cy="5938520"/>
                    </a:xfrm>
                    <a:prstGeom prst="rect">
                      <a:avLst/>
                    </a:prstGeom>
                    <a:noFill/>
                    <a:ln>
                      <a:noFill/>
                    </a:ln>
                  </pic:spPr>
                </pic:pic>
              </a:graphicData>
            </a:graphic>
          </wp:inline>
        </w:drawing>
      </w:r>
    </w:p>
    <w:p w14:paraId="217AC5A6" w14:textId="77777777" w:rsidR="001F281E" w:rsidRPr="007371C6" w:rsidRDefault="001F281E" w:rsidP="001F4CA8">
      <w:pPr>
        <w:rPr>
          <w:color w:val="153D63" w:themeColor="text2" w:themeTint="E6"/>
        </w:rPr>
      </w:pPr>
      <w:r>
        <w:rPr>
          <w:b/>
          <w:color w:val="153D63"/>
        </w:rPr>
        <w:t>Figure 5. Residual diagnostics for the SARIMA(3,0,0) × (0,1,1)₁₂ candidate.</w:t>
      </w:r>
      <w:r>
        <w:rPr>
          <w:color w:val="153D63"/>
        </w:rPr>
        <w:t xml:space="preserve"> The panel includes the standardized residual series, residual ACF, normal Q-Q plot, and Ljung-Box p-values.</w:t>
      </w:r>
    </w:p>
    <w:p w14:paraId="7DFD32DD" w14:textId="77777777" w:rsidR="00926675" w:rsidRDefault="00926675" w:rsidP="001F4CA8">
      <w:r>
        <w:t xml:space="preserve">As shown in Figure 5, the standardized residuals fluctuate around zero without a persistent trend or progressive change in variance, although several isolated observations approach approximately ±2.5 standard deviations. Most residual autocorrelations are small, but isolated negative spikes near approximately 24 and 30 months reach or slightly exceed the confidence </w:t>
      </w:r>
      <w:r>
        <w:lastRenderedPageBreak/>
        <w:t>bounds. Several Ljung-Box p-values at higher lags also fall below .05, indicating that modest long-lag dependence remains. The normal Q-Q plot is approximately linear through the center with mild departures in both tails. The leading candidate therefore captures the dominant dependence in the series, although its residuals are not perfectly white noise.</w:t>
      </w:r>
    </w:p>
    <w:p w14:paraId="75954603" w14:textId="77777777" w:rsidR="001F4CA8" w:rsidRDefault="001F4CA8" w:rsidP="001F4CA8">
      <w:pPr>
        <w:pStyle w:val="Heading3"/>
      </w:pPr>
      <w:r>
        <w:t>Competing candidate</w:t>
      </w:r>
    </w:p>
    <w:p w14:paraId="7AABD97F" w14:textId="77777777" w:rsidR="001F281E" w:rsidRDefault="00926675" w:rsidP="001F4CA8">
      <w:r w:rsidRPr="00926675">
        <w:t xml:space="preserve">The same diagnostic checks were applied to the SARIMA(2,0,1) </w:t>
      </w:r>
      <w:r w:rsidRPr="00926675">
        <w:rPr>
          <w:rFonts w:hint="cs"/>
        </w:rPr>
        <w:t>×</w:t>
      </w:r>
      <w:r w:rsidRPr="00926675">
        <w:t xml:space="preserve"> (0,1,1)₁₂ model so that the two candidates could be evaluated using the same criteria.</w:t>
      </w:r>
      <w:r w:rsidR="001F281E">
        <w:rPr>
          <w:noProof/>
        </w:rPr>
        <w:drawing>
          <wp:inline distT="0" distB="0" distL="0" distR="0" wp14:anchorId="0BAA5ECC" wp14:editId="22037F98">
            <wp:extent cx="5845996" cy="5845996"/>
            <wp:effectExtent l="0" t="0" r="254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6891" cy="5856891"/>
                    </a:xfrm>
                    <a:prstGeom prst="rect">
                      <a:avLst/>
                    </a:prstGeom>
                    <a:noFill/>
                    <a:ln>
                      <a:noFill/>
                    </a:ln>
                  </pic:spPr>
                </pic:pic>
              </a:graphicData>
            </a:graphic>
          </wp:inline>
        </w:drawing>
      </w:r>
    </w:p>
    <w:p w14:paraId="2DC3D972" w14:textId="77777777" w:rsidR="001F281E" w:rsidRPr="007371C6" w:rsidRDefault="001F281E" w:rsidP="001F4CA8">
      <w:pPr>
        <w:rPr>
          <w:color w:val="153D63" w:themeColor="text2" w:themeTint="E6"/>
        </w:rPr>
      </w:pPr>
      <w:r>
        <w:rPr>
          <w:b/>
          <w:color w:val="153D63"/>
        </w:rPr>
        <w:t>Figure 6. Residual diagnostics for the SARIMA(2,0,1) × (0,1,1)₁₂ candidate.</w:t>
      </w:r>
      <w:r>
        <w:rPr>
          <w:color w:val="153D63"/>
        </w:rPr>
        <w:t xml:space="preserve"> The panel includes the standardized residual series, residual ACF, normal Q-Q plot, and Ljung-Box p-values.</w:t>
      </w:r>
    </w:p>
    <w:p w14:paraId="4D79AB14" w14:textId="77777777" w:rsidR="00926675" w:rsidRDefault="00926675" w:rsidP="001F4CA8">
      <w:r>
        <w:lastRenderedPageBreak/>
        <w:t>Figure 6 shows a residual pattern very similar to that of the leading candidate. The standardized residuals remain centered near zero with generally stable variance, and the Q-Q plot is close to linear through the middle of the distribution with mild tail departures. The residual ACF again contains isolated negative spikes near approximately 24 and 30 months, and several Ljung-Box p-values are at or below .05. The competing model therefore leaves a similar amount of long-lag dependence and does not provide a diagnostic improvement over the leading candidate.</w:t>
      </w:r>
    </w:p>
    <w:p w14:paraId="4FA4EEBD" w14:textId="77777777" w:rsidR="001F4CA8" w:rsidRPr="001F4CA8" w:rsidRDefault="00891B39" w:rsidP="001F4CA8">
      <w:pPr>
        <w:pStyle w:val="Heading3"/>
      </w:pPr>
      <w:r>
        <w:t>Diagnostic</w:t>
      </w:r>
      <w:r w:rsidR="001F4CA8">
        <w:t xml:space="preserve"> comparison</w:t>
      </w:r>
    </w:p>
    <w:p w14:paraId="0567A5A6" w14:textId="07F963D7" w:rsidR="00717469" w:rsidRDefault="00926675">
      <w:r>
        <w:t xml:space="preserve">The two leading candidates have nearly indistinguishable diagnostic behavior, and neither removes every indication of long-lag dependence. </w:t>
      </w:r>
      <w:r w:rsidR="00F7233E" w:rsidRPr="00F7233E">
        <w:t xml:space="preserve">The SARIMA(3,0,0) </w:t>
      </w:r>
      <w:r w:rsidR="00F7233E" w:rsidRPr="00F7233E">
        <w:rPr>
          <w:rFonts w:hint="cs"/>
        </w:rPr>
        <w:t>×</w:t>
      </w:r>
      <w:r w:rsidR="00F7233E" w:rsidRPr="00F7233E">
        <w:t xml:space="preserve"> (0,1,1)₁₂ candidate nevertheless provides the stronger overall combination of fit and parsimony because it has the smaller residual variance, AIC, and AICc while using the same number of fitted coefficients as the SARIMA(2,0,1) </w:t>
      </w:r>
      <w:r w:rsidR="00F7233E" w:rsidRPr="00F7233E">
        <w:rPr>
          <w:rFonts w:hint="cs"/>
        </w:rPr>
        <w:t>×</w:t>
      </w:r>
      <w:r w:rsidR="00F7233E" w:rsidRPr="00F7233E">
        <w:t xml:space="preserve"> (0,1,1)₁₂ competitor. </w:t>
      </w:r>
      <w:r w:rsidR="00E748BC" w:rsidRPr="00E748BC">
        <w:t>Most residual autocorrelations remain within the confidence bounds and departures from normality are mild; however, the diagnostics do not clearly distinguish the two leading candidates</w:t>
      </w:r>
      <w:r w:rsidR="00E748BC">
        <w:t>.</w:t>
      </w:r>
      <w:r>
        <w:t xml:space="preserve"> The isolated residual correlations and low Ljung-Box p-values are acknowledged as a limitation rather than evidence that the model captures every feature of the series.</w:t>
      </w:r>
    </w:p>
    <w:p w14:paraId="744A94BD" w14:textId="77777777" w:rsidR="00717469" w:rsidRDefault="00717469" w:rsidP="006A54D9">
      <w:pPr>
        <w:pStyle w:val="Heading2"/>
      </w:pPr>
      <w:r>
        <w:t>Final Selection and Forecasting</w:t>
      </w:r>
    </w:p>
    <w:p w14:paraId="6C3902C8" w14:textId="77777777" w:rsidR="0037482D" w:rsidRPr="00E47273" w:rsidRDefault="0037482D" w:rsidP="00E47273">
      <w:pPr>
        <w:pStyle w:val="Heading3"/>
      </w:pPr>
      <w:r w:rsidRPr="00E47273">
        <w:t>Final model selection</w:t>
      </w:r>
    </w:p>
    <w:p w14:paraId="0BD09EEC" w14:textId="77777777" w:rsidR="00687F99" w:rsidRPr="00687F99" w:rsidRDefault="00687F99" w:rsidP="00687F99">
      <w:r w:rsidRPr="00687F99">
        <w:t xml:space="preserve">The SARIMA(3,0,0) </w:t>
      </w:r>
      <w:r w:rsidRPr="00687F99">
        <w:rPr>
          <w:rFonts w:hint="cs"/>
        </w:rPr>
        <w:t>×</w:t>
      </w:r>
      <w:r w:rsidRPr="00687F99">
        <w:t xml:space="preserve"> (0,1,1)₁₂ model was selected for forecasting based on the combined evidence from coefficient estimates, information criteria, parsimony, and residual diagnostics. It produced the smallest residual variance (0.317870), AIC (1.8941), and AICc (1.8963) among the three data-driven candidates, and all five estimated coefficients were statistically significant at the .05 level. Its BIC (2.0057) was essentially tied with that of the simpler model (2.0053), but the selected model provided better fit by the other criteria without using more parameters than its closest competitor. The third autoregressive coefficient also remained significant (</w:t>
      </w:r>
      <w:r w:rsidRPr="00687F99">
        <w:rPr>
          <w:rFonts w:hint="cs"/>
        </w:rPr>
        <w:t>φ̂</w:t>
      </w:r>
      <w:r w:rsidRPr="00687F99">
        <w:t>₃ = 0.1767, p = .025), supporting its retention rather than reducing the nonseasonal autoregressive order.</w:t>
      </w:r>
    </w:p>
    <w:p w14:paraId="5D6D8299" w14:textId="322CA3E3" w:rsidR="00687F99" w:rsidRPr="00687F99" w:rsidRDefault="00687F99" w:rsidP="00687F99">
      <w:r w:rsidRPr="00687F99">
        <w:t xml:space="preserve">In practical terms, the selected model indicates that monthly chicken prices are not independent observations. </w:t>
      </w:r>
      <w:r w:rsidR="0071130F" w:rsidRPr="0071130F">
        <w:t>Current prices retain information from recent months, while the seasonal structure accounts for recurring annual dependence in the monthly price process.</w:t>
      </w:r>
      <w:r w:rsidRPr="00687F99">
        <w:t xml:space="preserve"> The fitted linear time coefficient of 0.2833 represents an underlying increase of approximately 0.2833 cents per pound per month after the modeled temporal dependence is taken into account. For a stakeholder, the model therefore represents chicken prices as a combination of persistent short-term price behavior, annual dependence, and a gradual long-term increase rather than as isolated monthly changes.</w:t>
      </w:r>
    </w:p>
    <w:p w14:paraId="6D445E79" w14:textId="77777777" w:rsidR="00687F99" w:rsidRDefault="00687F99" w:rsidP="00687F99">
      <w:pPr>
        <w:rPr>
          <w:i/>
        </w:rPr>
      </w:pPr>
      <w:r w:rsidRPr="00687F99">
        <w:lastRenderedPageBreak/>
        <w:t xml:space="preserve">The SARIMA(2,0,1) </w:t>
      </w:r>
      <w:r w:rsidRPr="00687F99">
        <w:rPr>
          <w:rFonts w:hint="cs"/>
        </w:rPr>
        <w:t>×</w:t>
      </w:r>
      <w:r w:rsidRPr="00687F99">
        <w:t xml:space="preserve"> (0,1,1)₁₂ model was not selected because it had slightly larger residual variance, AIC, and AICc, did not improve the residual diagnostics, and used the same number of fitted coefficients. The simpler SARIMA(2,0,0) </w:t>
      </w:r>
      <w:r w:rsidRPr="00687F99">
        <w:rPr>
          <w:rFonts w:hint="cs"/>
        </w:rPr>
        <w:t>×</w:t>
      </w:r>
      <w:r w:rsidRPr="00687F99">
        <w:t xml:space="preserve"> (0,1,1)₁₂ model reduced the parameter count by one but sacrificed fit. These differences are small, so the selected model should not be interpreted as overwhelmingly superior; rather, it provides the strongest overall representation of the observed price behavior among the models evaluated. The final numerical fitted model is given in Equation 3.</w:t>
      </w:r>
    </w:p>
    <w:p w14:paraId="3BB3A956" w14:textId="7AE2E3A6" w:rsidR="0037482D" w:rsidRPr="0037482D" w:rsidRDefault="0037482D" w:rsidP="00687F99">
      <w:pPr>
        <w:pStyle w:val="Heading3"/>
      </w:pPr>
      <w:r w:rsidRPr="0037482D">
        <w:t>Twenty-four-month forecast</w:t>
      </w:r>
    </w:p>
    <w:p w14:paraId="77AE0906" w14:textId="7D57BEAC" w:rsidR="00B57569" w:rsidRDefault="00910646" w:rsidP="00E47273">
      <w:pPr>
        <w:rPr>
          <w:noProof/>
        </w:rPr>
      </w:pPr>
      <w:r w:rsidRPr="00910646">
        <w:t xml:space="preserve">A 24-month forecast was generated from the selected SARIMA(3,0,0) </w:t>
      </w:r>
      <w:r w:rsidRPr="00910646">
        <w:rPr>
          <w:rFonts w:hint="cs"/>
        </w:rPr>
        <w:t>×</w:t>
      </w:r>
      <w:r w:rsidRPr="00910646">
        <w:t xml:space="preserve"> (0,1,1)₁₂ model with 80% and 95% prediction intervals</w:t>
      </w:r>
      <w:r w:rsidR="00D33E7D">
        <w:t xml:space="preserve"> using forecast()</w:t>
      </w:r>
      <w:r w:rsidRPr="00910646">
        <w:t xml:space="preserve">. </w:t>
      </w:r>
      <w:r w:rsidR="0071130F" w:rsidRPr="0071130F">
        <w:t>As shown in Figure 7, the point forecast initially declines from approximately 111 cents per pound to about 109 cents per pound before increasing with moderate recurring fluctuations.</w:t>
      </w:r>
      <w:r w:rsidRPr="00910646">
        <w:t xml:space="preserve"> By the end of the forecast period, the expected price reaches approximately 119 cents per pound. The complete monthly point forecasts and corresponding prediction intervals are provided in Appendix</w:t>
      </w:r>
      <w:r w:rsidR="00D05077">
        <w:t xml:space="preserve"> B. </w:t>
      </w:r>
      <w:r w:rsidRPr="00910646">
        <w:t xml:space="preserve"> </w:t>
      </w:r>
      <w:r w:rsidR="00B57569">
        <w:rPr>
          <w:noProof/>
        </w:rPr>
        <w:drawing>
          <wp:inline distT="0" distB="0" distL="0" distR="0" wp14:anchorId="6F79D8B5" wp14:editId="456B735B">
            <wp:extent cx="5572125" cy="40808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5165" cy="4083093"/>
                    </a:xfrm>
                    <a:prstGeom prst="rect">
                      <a:avLst/>
                    </a:prstGeom>
                    <a:noFill/>
                    <a:ln>
                      <a:noFill/>
                    </a:ln>
                  </pic:spPr>
                </pic:pic>
              </a:graphicData>
            </a:graphic>
          </wp:inline>
        </w:drawing>
      </w:r>
    </w:p>
    <w:p w14:paraId="1218C4B6" w14:textId="3F26B9E5" w:rsidR="0037482D" w:rsidRPr="00910646" w:rsidRDefault="007371C6" w:rsidP="00910646">
      <w:pPr>
        <w:rPr>
          <w:b/>
          <w:bCs/>
          <w:color w:val="0F4761" w:themeColor="accent1" w:themeShade="BF"/>
        </w:rPr>
      </w:pPr>
      <w:r w:rsidRPr="00910646">
        <w:rPr>
          <w:b/>
          <w:bCs/>
          <w:color w:val="0F4761" w:themeColor="accent1" w:themeShade="BF"/>
        </w:rPr>
        <w:t xml:space="preserve">Figure 7. </w:t>
      </w:r>
      <w:bookmarkStart w:id="0" w:name="_Hlk237041832"/>
      <w:r w:rsidRPr="00910646">
        <w:rPr>
          <w:b/>
          <w:bCs/>
          <w:color w:val="0F4761" w:themeColor="accent1" w:themeShade="BF"/>
        </w:rPr>
        <w:t xml:space="preserve">Twenty-four-month forecast </w:t>
      </w:r>
      <w:bookmarkEnd w:id="0"/>
      <w:r w:rsidRPr="00910646">
        <w:rPr>
          <w:b/>
          <w:bCs/>
          <w:color w:val="0F4761" w:themeColor="accent1" w:themeShade="BF"/>
        </w:rPr>
        <w:t xml:space="preserve">from the selected model with 80% and 95% </w:t>
      </w:r>
      <w:r w:rsidR="00910646">
        <w:rPr>
          <w:b/>
          <w:bCs/>
          <w:color w:val="0F4761" w:themeColor="accent1" w:themeShade="BF"/>
        </w:rPr>
        <w:t xml:space="preserve">prediction </w:t>
      </w:r>
      <w:r w:rsidRPr="00910646">
        <w:rPr>
          <w:b/>
          <w:bCs/>
          <w:color w:val="0F4761" w:themeColor="accent1" w:themeShade="BF"/>
        </w:rPr>
        <w:t>intervals.</w:t>
      </w:r>
    </w:p>
    <w:p w14:paraId="27EA7ACC" w14:textId="77777777" w:rsidR="00687F99" w:rsidRPr="00687F99" w:rsidRDefault="00687F99" w:rsidP="00687F99">
      <w:r w:rsidRPr="00687F99">
        <w:lastRenderedPageBreak/>
        <w:t>For a stakeholder, the forecast suggests that chicken prices are expected to remain near their recent historically high levels rather than return to the lower price levels observed earlier in the series. The projected path includes short-term increases and declines, so the model should not be interpreted as predicting a steady month-to-month rise. Instead, it indicates an overall upward direction across the two-year horizon while preserving the recurring temporal behavior found in the historical data. This distinction is important for planning: the point forecast provides a reasonable expected price path for budgeting or procurement, but individual monthly prices may deviate from that path.</w:t>
      </w:r>
    </w:p>
    <w:p w14:paraId="69759B2E" w14:textId="77777777" w:rsidR="00687F99" w:rsidRPr="00687F99" w:rsidRDefault="00687F99" w:rsidP="00687F99">
      <w:r w:rsidRPr="00687F99">
        <w:t>The 80% and 95% prediction intervals widen as the forecast horizon increases, quantifying the growing uncertainty in prices farther into the future. Near-term forecasts therefore provide a narrower range of plausible prices, whereas longer-horizon values should be treated as planning ranges rather than precise predictions. The 95% interval is wider than the 80% interval because it is designed to contain a broader range of plausible future outcomes. For decision-making, the intervals are particularly useful because they show the range of prices that should be considered when evaluating cost exposure or planning under uncertainty, rather than relying only on the point forecast.</w:t>
      </w:r>
    </w:p>
    <w:p w14:paraId="5FCF20F4" w14:textId="77777777" w:rsidR="00687F99" w:rsidRPr="00687F99" w:rsidRDefault="00687F99" w:rsidP="00687F99">
      <w:r w:rsidRPr="00687F99">
        <w:t>Forecasts are reported on the original scale of U.S. cents per pound. The series was not logarithmically or otherwise variance-transformed before model fitting, so no back-transformation or transformation-bias adjustment was required. Although the selected model captures the dominant temporal structure, isolated long-lag residual dependence remains. The forecasts should therefore be interpreted as statistically supported estimates based on historical price behavior, not as guarantees or as predictions that incorporate future market shocks or other external drivers.</w:t>
      </w:r>
    </w:p>
    <w:p w14:paraId="153ACBE0" w14:textId="42E50DA0" w:rsidR="00687F99" w:rsidRDefault="0071130F" w:rsidP="00687F99">
      <w:r w:rsidRPr="0071130F">
        <w:t xml:space="preserve">Overall, the SARIMA(3,0,0) </w:t>
      </w:r>
      <w:r w:rsidRPr="0071130F">
        <w:rPr>
          <w:rFonts w:hint="cs"/>
        </w:rPr>
        <w:t>×</w:t>
      </w:r>
      <w:r w:rsidRPr="0071130F">
        <w:t xml:space="preserve"> (0,1,1)₁₂ model provides the strongest combination of fit, significant coefficients, and parsimony among the models evaluated, while exhibiting residual behavior comparable to its closest competitor.</w:t>
      </w:r>
      <w:r w:rsidR="00687F99" w:rsidRPr="00687F99">
        <w:t xml:space="preserve"> Quantitatively, it minimizes residual variance, AIC, and AICc among the data-driven candidates; qualitatively, it represents chicken prices as persistent over time, influenced by annual dependence, and subject to a gradual upward trajectory. The 24-month forecast consequently supports planning for generally elevated and increasing prices while emphasizing progressively greater uncertainty farther into the future.</w:t>
      </w:r>
    </w:p>
    <w:p w14:paraId="6E47E076" w14:textId="0DCC4C7F" w:rsidR="00DE1A7E" w:rsidRDefault="00704A8A" w:rsidP="00687F99">
      <w:pPr>
        <w:pStyle w:val="Heading2"/>
      </w:pPr>
      <w:r>
        <w:lastRenderedPageBreak/>
        <w:t>Appendix</w:t>
      </w:r>
      <w:r w:rsidR="006D728D">
        <w:t xml:space="preserve"> A: R Script</w:t>
      </w:r>
      <w:r w:rsidR="000656D3">
        <w:t xml:space="preserve"> for figures</w:t>
      </w:r>
      <w:r w:rsidR="00E822B8">
        <w:t xml:space="preserve"> and tables</w:t>
      </w:r>
    </w:p>
    <w:p w14:paraId="151B05BA" w14:textId="5ED96AFB" w:rsidR="00E8731F" w:rsidRDefault="00E8731F" w:rsidP="006D728D">
      <w:r w:rsidRPr="00E8731F">
        <w:rPr>
          <w:noProof/>
        </w:rPr>
        <w:drawing>
          <wp:inline distT="0" distB="0" distL="0" distR="0" wp14:anchorId="55E9FA98" wp14:editId="13DD2E8B">
            <wp:extent cx="5048250" cy="226038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76382" cy="2272982"/>
                    </a:xfrm>
                    <a:prstGeom prst="rect">
                      <a:avLst/>
                    </a:prstGeom>
                  </pic:spPr>
                </pic:pic>
              </a:graphicData>
            </a:graphic>
          </wp:inline>
        </w:drawing>
      </w:r>
    </w:p>
    <w:p w14:paraId="091AD402" w14:textId="183A7158" w:rsidR="006D728D" w:rsidRDefault="008B3E34" w:rsidP="006D728D">
      <w:r w:rsidRPr="008B3E34">
        <w:rPr>
          <w:noProof/>
        </w:rPr>
        <w:drawing>
          <wp:inline distT="0" distB="0" distL="0" distR="0" wp14:anchorId="5CB05678" wp14:editId="1F29F95C">
            <wp:extent cx="4736974" cy="5476875"/>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64186" cy="5508337"/>
                    </a:xfrm>
                    <a:prstGeom prst="rect">
                      <a:avLst/>
                    </a:prstGeom>
                  </pic:spPr>
                </pic:pic>
              </a:graphicData>
            </a:graphic>
          </wp:inline>
        </w:drawing>
      </w:r>
    </w:p>
    <w:p w14:paraId="783DFBD5" w14:textId="6C02D3CD" w:rsidR="008B3E34" w:rsidRDefault="005A43A1" w:rsidP="006D728D">
      <w:r w:rsidRPr="005A43A1">
        <w:rPr>
          <w:noProof/>
        </w:rPr>
        <w:lastRenderedPageBreak/>
        <w:drawing>
          <wp:inline distT="0" distB="0" distL="0" distR="0" wp14:anchorId="438453FC" wp14:editId="093BAEAD">
            <wp:extent cx="5600010" cy="69342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04368" cy="6939597"/>
                    </a:xfrm>
                    <a:prstGeom prst="rect">
                      <a:avLst/>
                    </a:prstGeom>
                  </pic:spPr>
                </pic:pic>
              </a:graphicData>
            </a:graphic>
          </wp:inline>
        </w:drawing>
      </w:r>
    </w:p>
    <w:p w14:paraId="2A1F1B07" w14:textId="1281B362" w:rsidR="005A43A1" w:rsidRDefault="005A43A1" w:rsidP="006D728D">
      <w:r w:rsidRPr="005A43A1">
        <w:rPr>
          <w:noProof/>
        </w:rPr>
        <w:lastRenderedPageBreak/>
        <w:drawing>
          <wp:inline distT="0" distB="0" distL="0" distR="0" wp14:anchorId="14CB6223" wp14:editId="1B0E8D12">
            <wp:extent cx="5943600" cy="4171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39268"/>
                    <a:stretch/>
                  </pic:blipFill>
                  <pic:spPr bwMode="auto">
                    <a:xfrm>
                      <a:off x="0" y="0"/>
                      <a:ext cx="5943600" cy="4171950"/>
                    </a:xfrm>
                    <a:prstGeom prst="rect">
                      <a:avLst/>
                    </a:prstGeom>
                    <a:ln>
                      <a:noFill/>
                    </a:ln>
                    <a:extLst>
                      <a:ext uri="{53640926-AAD7-44D8-BBD7-CCE9431645EC}">
                        <a14:shadowObscured xmlns:a14="http://schemas.microsoft.com/office/drawing/2010/main"/>
                      </a:ext>
                    </a:extLst>
                  </pic:spPr>
                </pic:pic>
              </a:graphicData>
            </a:graphic>
          </wp:inline>
        </w:drawing>
      </w:r>
    </w:p>
    <w:p w14:paraId="5D6879B9" w14:textId="0EDB9649" w:rsidR="005A43A1" w:rsidRDefault="00AF6F4D" w:rsidP="006D728D">
      <w:r w:rsidRPr="00AF6F4D">
        <w:drawing>
          <wp:inline distT="0" distB="0" distL="0" distR="0" wp14:anchorId="19212E10" wp14:editId="6FC75CDD">
            <wp:extent cx="4486275" cy="378459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27974" cy="3819772"/>
                    </a:xfrm>
                    <a:prstGeom prst="rect">
                      <a:avLst/>
                    </a:prstGeom>
                  </pic:spPr>
                </pic:pic>
              </a:graphicData>
            </a:graphic>
          </wp:inline>
        </w:drawing>
      </w:r>
    </w:p>
    <w:p w14:paraId="69911189" w14:textId="7647F949" w:rsidR="00AF6F4D" w:rsidRDefault="00AF6F4D" w:rsidP="006D728D">
      <w:r w:rsidRPr="00AF6F4D">
        <w:lastRenderedPageBreak/>
        <w:drawing>
          <wp:inline distT="0" distB="0" distL="0" distR="0" wp14:anchorId="423364D3" wp14:editId="368A0049">
            <wp:extent cx="5010150" cy="48249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14826" cy="4829448"/>
                    </a:xfrm>
                    <a:prstGeom prst="rect">
                      <a:avLst/>
                    </a:prstGeom>
                  </pic:spPr>
                </pic:pic>
              </a:graphicData>
            </a:graphic>
          </wp:inline>
        </w:drawing>
      </w:r>
    </w:p>
    <w:p w14:paraId="7EF75E53" w14:textId="405A92C2" w:rsidR="006D728D" w:rsidRPr="006D728D" w:rsidRDefault="006D728D" w:rsidP="006D728D">
      <w:pPr>
        <w:pStyle w:val="Heading2"/>
      </w:pPr>
      <w:r>
        <w:t>Appendix B: Model Outputs</w:t>
      </w:r>
    </w:p>
    <w:p w14:paraId="2C7F5318" w14:textId="5AA4135C" w:rsidR="00731B68" w:rsidRDefault="00182CB7" w:rsidP="00CB2993">
      <w:pPr>
        <w:pStyle w:val="Heading3"/>
      </w:pPr>
      <w:r>
        <w:t>Model Outputs</w:t>
      </w:r>
    </w:p>
    <w:p w14:paraId="4584E619" w14:textId="11CA2E51" w:rsidR="00182CB7" w:rsidRPr="00182CB7" w:rsidRDefault="00182CB7" w:rsidP="00182CB7">
      <w:pPr>
        <w:pStyle w:val="Heading4"/>
      </w:pPr>
      <w:r w:rsidRPr="00182CB7">
        <w:t>SARIMA(3,0,0) x (0,1,1)</w:t>
      </w:r>
      <w:r w:rsidRPr="001D64A0">
        <w:rPr>
          <w:vertAlign w:val="subscript"/>
        </w:rPr>
        <w:t>12</w:t>
      </w:r>
    </w:p>
    <w:p w14:paraId="3EF234CD" w14:textId="44473A84" w:rsidR="00182CB7" w:rsidRDefault="00182CB7" w:rsidP="00182CB7">
      <w:r>
        <w:rPr>
          <w:noProof/>
        </w:rPr>
        <w:drawing>
          <wp:inline distT="0" distB="0" distL="0" distR="0" wp14:anchorId="7D0B5501" wp14:editId="1B74D4E6">
            <wp:extent cx="4143375" cy="17729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46261" cy="1774167"/>
                    </a:xfrm>
                    <a:prstGeom prst="rect">
                      <a:avLst/>
                    </a:prstGeom>
                    <a:noFill/>
                  </pic:spPr>
                </pic:pic>
              </a:graphicData>
            </a:graphic>
          </wp:inline>
        </w:drawing>
      </w:r>
    </w:p>
    <w:p w14:paraId="362723CD" w14:textId="32D812A2" w:rsidR="00182CB7" w:rsidRPr="00182CB7" w:rsidRDefault="00182CB7" w:rsidP="00182CB7">
      <w:pPr>
        <w:pStyle w:val="Heading4"/>
      </w:pPr>
      <w:r w:rsidRPr="00182CB7">
        <w:lastRenderedPageBreak/>
        <w:t>SARIMA(2,0,1) x (0,1,1)</w:t>
      </w:r>
      <w:r w:rsidRPr="001D64A0">
        <w:rPr>
          <w:vertAlign w:val="subscript"/>
        </w:rPr>
        <w:t>12</w:t>
      </w:r>
    </w:p>
    <w:p w14:paraId="5B27ADA9" w14:textId="6C03D2AC" w:rsidR="00CB2993" w:rsidRDefault="00182CB7" w:rsidP="00704A8A">
      <w:pPr>
        <w:rPr>
          <w:b/>
          <w:bCs/>
          <w:color w:val="0F4761" w:themeColor="accent1" w:themeShade="BF"/>
        </w:rPr>
      </w:pPr>
      <w:r w:rsidRPr="00182CB7">
        <w:rPr>
          <w:b/>
          <w:bCs/>
          <w:color w:val="0F4761" w:themeColor="accent1" w:themeShade="BF"/>
        </w:rPr>
        <w:drawing>
          <wp:inline distT="0" distB="0" distL="0" distR="0" wp14:anchorId="69B5F782" wp14:editId="6BADF83A">
            <wp:extent cx="4124325" cy="1714118"/>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31020" cy="1716900"/>
                    </a:xfrm>
                    <a:prstGeom prst="rect">
                      <a:avLst/>
                    </a:prstGeom>
                  </pic:spPr>
                </pic:pic>
              </a:graphicData>
            </a:graphic>
          </wp:inline>
        </w:drawing>
      </w:r>
    </w:p>
    <w:p w14:paraId="6CD34FB9" w14:textId="550CEB3F" w:rsidR="00182CB7" w:rsidRDefault="00182CB7" w:rsidP="00182CB7">
      <w:pPr>
        <w:pStyle w:val="Heading4"/>
      </w:pPr>
      <w:r w:rsidRPr="00182CB7">
        <w:t>SARIMA(2,0,0) x (0,1,1)</w:t>
      </w:r>
      <w:r w:rsidRPr="001D64A0">
        <w:rPr>
          <w:vertAlign w:val="subscript"/>
        </w:rPr>
        <w:t>12</w:t>
      </w:r>
    </w:p>
    <w:p w14:paraId="768C665B" w14:textId="2A3ACFE9" w:rsidR="00182CB7" w:rsidRPr="00D05077" w:rsidRDefault="00182CB7" w:rsidP="00704A8A">
      <w:r w:rsidRPr="00182CB7">
        <w:drawing>
          <wp:inline distT="0" distB="0" distL="0" distR="0" wp14:anchorId="2B86D362" wp14:editId="34313D50">
            <wp:extent cx="4076700" cy="1499174"/>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86112" cy="1502635"/>
                    </a:xfrm>
                    <a:prstGeom prst="rect">
                      <a:avLst/>
                    </a:prstGeom>
                  </pic:spPr>
                </pic:pic>
              </a:graphicData>
            </a:graphic>
          </wp:inline>
        </w:drawing>
      </w:r>
    </w:p>
    <w:p w14:paraId="5B33C837" w14:textId="7EC37EB8" w:rsidR="001D790F" w:rsidRPr="00704A8A" w:rsidRDefault="002B63DD" w:rsidP="001D790F">
      <w:pPr>
        <w:pStyle w:val="Heading3"/>
      </w:pPr>
      <w:r w:rsidRPr="004A6141">
        <w:t xml:space="preserve">Twenty-four-month forecast </w:t>
      </w:r>
    </w:p>
    <w:tbl>
      <w:tblPr>
        <w:tblW w:w="8160" w:type="dxa"/>
        <w:tblLook w:val="04A0" w:firstRow="1" w:lastRow="0" w:firstColumn="1" w:lastColumn="0" w:noHBand="0" w:noVBand="1"/>
      </w:tblPr>
      <w:tblGrid>
        <w:gridCol w:w="1080"/>
        <w:gridCol w:w="1880"/>
        <w:gridCol w:w="1300"/>
        <w:gridCol w:w="1300"/>
        <w:gridCol w:w="1300"/>
        <w:gridCol w:w="1300"/>
      </w:tblGrid>
      <w:tr w:rsidR="001D790F" w:rsidRPr="001D790F" w14:paraId="73418CE2" w14:textId="77777777" w:rsidTr="001D790F">
        <w:trPr>
          <w:trHeight w:val="315"/>
        </w:trPr>
        <w:tc>
          <w:tcPr>
            <w:tcW w:w="1080" w:type="dxa"/>
            <w:tcBorders>
              <w:top w:val="single" w:sz="4" w:space="0" w:color="156082"/>
              <w:left w:val="nil"/>
              <w:bottom w:val="single" w:sz="8" w:space="0" w:color="44B3E1"/>
              <w:right w:val="nil"/>
            </w:tcBorders>
            <w:shd w:val="clear" w:color="auto" w:fill="auto"/>
            <w:noWrap/>
            <w:vAlign w:val="bottom"/>
            <w:hideMark/>
          </w:tcPr>
          <w:p w14:paraId="6C94C86F" w14:textId="77777777" w:rsidR="001D790F" w:rsidRPr="001D790F" w:rsidRDefault="001D790F" w:rsidP="001D790F">
            <w:pPr>
              <w:spacing w:after="0" w:line="240" w:lineRule="auto"/>
              <w:rPr>
                <w:rFonts w:ascii="Aptos Narrow" w:eastAsia="Times New Roman" w:hAnsi="Aptos Narrow" w:cs="Times New Roman"/>
                <w:b/>
                <w:bCs/>
                <w:color w:val="0E2841"/>
                <w:kern w:val="0"/>
                <w:sz w:val="22"/>
                <w:szCs w:val="22"/>
                <w14:ligatures w14:val="none"/>
              </w:rPr>
            </w:pPr>
            <w:r w:rsidRPr="001D790F">
              <w:rPr>
                <w:rFonts w:ascii="Aptos Narrow" w:eastAsia="Times New Roman" w:hAnsi="Aptos Narrow" w:cs="Times New Roman"/>
                <w:b/>
                <w:bCs/>
                <w:color w:val="0E2841"/>
                <w:kern w:val="0"/>
                <w:sz w:val="22"/>
                <w:szCs w:val="22"/>
                <w14:ligatures w14:val="none"/>
              </w:rPr>
              <w:t>Time</w:t>
            </w:r>
          </w:p>
        </w:tc>
        <w:tc>
          <w:tcPr>
            <w:tcW w:w="1880" w:type="dxa"/>
            <w:tcBorders>
              <w:top w:val="single" w:sz="4" w:space="0" w:color="156082"/>
              <w:left w:val="nil"/>
              <w:bottom w:val="single" w:sz="8" w:space="0" w:color="44B3E1"/>
              <w:right w:val="nil"/>
            </w:tcBorders>
            <w:shd w:val="clear" w:color="auto" w:fill="auto"/>
            <w:noWrap/>
            <w:vAlign w:val="bottom"/>
            <w:hideMark/>
          </w:tcPr>
          <w:p w14:paraId="22DA3E17" w14:textId="77777777" w:rsidR="001D790F" w:rsidRPr="001D790F" w:rsidRDefault="001D790F" w:rsidP="001D790F">
            <w:pPr>
              <w:spacing w:after="0" w:line="240" w:lineRule="auto"/>
              <w:rPr>
                <w:rFonts w:ascii="Aptos Narrow" w:eastAsia="Times New Roman" w:hAnsi="Aptos Narrow" w:cs="Times New Roman"/>
                <w:b/>
                <w:bCs/>
                <w:color w:val="0E2841"/>
                <w:kern w:val="0"/>
                <w:sz w:val="22"/>
                <w:szCs w:val="22"/>
                <w14:ligatures w14:val="none"/>
              </w:rPr>
            </w:pPr>
            <w:r w:rsidRPr="001D790F">
              <w:rPr>
                <w:rFonts w:ascii="Aptos Narrow" w:eastAsia="Times New Roman" w:hAnsi="Aptos Narrow" w:cs="Times New Roman"/>
                <w:b/>
                <w:bCs/>
                <w:color w:val="0E2841"/>
                <w:kern w:val="0"/>
                <w:sz w:val="22"/>
                <w:szCs w:val="22"/>
                <w14:ligatures w14:val="none"/>
              </w:rPr>
              <w:t>Point.Forecast</w:t>
            </w:r>
          </w:p>
        </w:tc>
        <w:tc>
          <w:tcPr>
            <w:tcW w:w="1300" w:type="dxa"/>
            <w:tcBorders>
              <w:top w:val="single" w:sz="4" w:space="0" w:color="156082"/>
              <w:left w:val="nil"/>
              <w:bottom w:val="single" w:sz="8" w:space="0" w:color="44B3E1"/>
              <w:right w:val="nil"/>
            </w:tcBorders>
            <w:shd w:val="clear" w:color="auto" w:fill="auto"/>
            <w:noWrap/>
            <w:vAlign w:val="bottom"/>
            <w:hideMark/>
          </w:tcPr>
          <w:p w14:paraId="298CC442" w14:textId="77777777" w:rsidR="001D790F" w:rsidRPr="001D790F" w:rsidRDefault="001D790F" w:rsidP="001D790F">
            <w:pPr>
              <w:spacing w:after="0" w:line="240" w:lineRule="auto"/>
              <w:rPr>
                <w:rFonts w:ascii="Aptos Narrow" w:eastAsia="Times New Roman" w:hAnsi="Aptos Narrow" w:cs="Times New Roman"/>
                <w:b/>
                <w:bCs/>
                <w:color w:val="0E2841"/>
                <w:kern w:val="0"/>
                <w:sz w:val="22"/>
                <w:szCs w:val="22"/>
                <w14:ligatures w14:val="none"/>
              </w:rPr>
            </w:pPr>
            <w:r w:rsidRPr="001D790F">
              <w:rPr>
                <w:rFonts w:ascii="Aptos Narrow" w:eastAsia="Times New Roman" w:hAnsi="Aptos Narrow" w:cs="Times New Roman"/>
                <w:b/>
                <w:bCs/>
                <w:color w:val="0E2841"/>
                <w:kern w:val="0"/>
                <w:sz w:val="22"/>
                <w:szCs w:val="22"/>
                <w14:ligatures w14:val="none"/>
              </w:rPr>
              <w:t>Lower.80</w:t>
            </w:r>
          </w:p>
        </w:tc>
        <w:tc>
          <w:tcPr>
            <w:tcW w:w="1300" w:type="dxa"/>
            <w:tcBorders>
              <w:top w:val="single" w:sz="4" w:space="0" w:color="156082"/>
              <w:left w:val="nil"/>
              <w:bottom w:val="single" w:sz="8" w:space="0" w:color="44B3E1"/>
              <w:right w:val="nil"/>
            </w:tcBorders>
            <w:shd w:val="clear" w:color="auto" w:fill="auto"/>
            <w:noWrap/>
            <w:vAlign w:val="bottom"/>
            <w:hideMark/>
          </w:tcPr>
          <w:p w14:paraId="1851F1E5" w14:textId="77777777" w:rsidR="001D790F" w:rsidRPr="001D790F" w:rsidRDefault="001D790F" w:rsidP="001D790F">
            <w:pPr>
              <w:spacing w:after="0" w:line="240" w:lineRule="auto"/>
              <w:rPr>
                <w:rFonts w:ascii="Aptos Narrow" w:eastAsia="Times New Roman" w:hAnsi="Aptos Narrow" w:cs="Times New Roman"/>
                <w:b/>
                <w:bCs/>
                <w:color w:val="0E2841"/>
                <w:kern w:val="0"/>
                <w:sz w:val="22"/>
                <w:szCs w:val="22"/>
                <w14:ligatures w14:val="none"/>
              </w:rPr>
            </w:pPr>
            <w:r w:rsidRPr="001D790F">
              <w:rPr>
                <w:rFonts w:ascii="Aptos Narrow" w:eastAsia="Times New Roman" w:hAnsi="Aptos Narrow" w:cs="Times New Roman"/>
                <w:b/>
                <w:bCs/>
                <w:color w:val="0E2841"/>
                <w:kern w:val="0"/>
                <w:sz w:val="22"/>
                <w:szCs w:val="22"/>
                <w14:ligatures w14:val="none"/>
              </w:rPr>
              <w:t>Upper.80</w:t>
            </w:r>
          </w:p>
        </w:tc>
        <w:tc>
          <w:tcPr>
            <w:tcW w:w="1300" w:type="dxa"/>
            <w:tcBorders>
              <w:top w:val="single" w:sz="4" w:space="0" w:color="156082"/>
              <w:left w:val="nil"/>
              <w:bottom w:val="single" w:sz="8" w:space="0" w:color="44B3E1"/>
              <w:right w:val="nil"/>
            </w:tcBorders>
            <w:shd w:val="clear" w:color="auto" w:fill="auto"/>
            <w:noWrap/>
            <w:vAlign w:val="bottom"/>
            <w:hideMark/>
          </w:tcPr>
          <w:p w14:paraId="1AB99079" w14:textId="77777777" w:rsidR="001D790F" w:rsidRPr="001D790F" w:rsidRDefault="001D790F" w:rsidP="001D790F">
            <w:pPr>
              <w:spacing w:after="0" w:line="240" w:lineRule="auto"/>
              <w:rPr>
                <w:rFonts w:ascii="Aptos Narrow" w:eastAsia="Times New Roman" w:hAnsi="Aptos Narrow" w:cs="Times New Roman"/>
                <w:b/>
                <w:bCs/>
                <w:color w:val="0E2841"/>
                <w:kern w:val="0"/>
                <w:sz w:val="22"/>
                <w:szCs w:val="22"/>
                <w14:ligatures w14:val="none"/>
              </w:rPr>
            </w:pPr>
            <w:r w:rsidRPr="001D790F">
              <w:rPr>
                <w:rFonts w:ascii="Aptos Narrow" w:eastAsia="Times New Roman" w:hAnsi="Aptos Narrow" w:cs="Times New Roman"/>
                <w:b/>
                <w:bCs/>
                <w:color w:val="0E2841"/>
                <w:kern w:val="0"/>
                <w:sz w:val="22"/>
                <w:szCs w:val="22"/>
                <w14:ligatures w14:val="none"/>
              </w:rPr>
              <w:t>Lower.95</w:t>
            </w:r>
          </w:p>
        </w:tc>
        <w:tc>
          <w:tcPr>
            <w:tcW w:w="1300" w:type="dxa"/>
            <w:tcBorders>
              <w:top w:val="single" w:sz="4" w:space="0" w:color="156082"/>
              <w:left w:val="nil"/>
              <w:bottom w:val="single" w:sz="8" w:space="0" w:color="44B3E1"/>
              <w:right w:val="nil"/>
            </w:tcBorders>
            <w:shd w:val="clear" w:color="auto" w:fill="auto"/>
            <w:noWrap/>
            <w:vAlign w:val="bottom"/>
            <w:hideMark/>
          </w:tcPr>
          <w:p w14:paraId="5BE820DC" w14:textId="77777777" w:rsidR="001D790F" w:rsidRPr="001D790F" w:rsidRDefault="001D790F" w:rsidP="001D790F">
            <w:pPr>
              <w:spacing w:after="0" w:line="240" w:lineRule="auto"/>
              <w:rPr>
                <w:rFonts w:ascii="Aptos Narrow" w:eastAsia="Times New Roman" w:hAnsi="Aptos Narrow" w:cs="Times New Roman"/>
                <w:b/>
                <w:bCs/>
                <w:color w:val="0E2841"/>
                <w:kern w:val="0"/>
                <w:sz w:val="22"/>
                <w:szCs w:val="22"/>
                <w14:ligatures w14:val="none"/>
              </w:rPr>
            </w:pPr>
            <w:r w:rsidRPr="001D790F">
              <w:rPr>
                <w:rFonts w:ascii="Aptos Narrow" w:eastAsia="Times New Roman" w:hAnsi="Aptos Narrow" w:cs="Times New Roman"/>
                <w:b/>
                <w:bCs/>
                <w:color w:val="0E2841"/>
                <w:kern w:val="0"/>
                <w:sz w:val="22"/>
                <w:szCs w:val="22"/>
                <w14:ligatures w14:val="none"/>
              </w:rPr>
              <w:t>Upper.95</w:t>
            </w:r>
          </w:p>
        </w:tc>
      </w:tr>
      <w:tr w:rsidR="001D790F" w:rsidRPr="001D790F" w14:paraId="41143591" w14:textId="77777777" w:rsidTr="001D790F">
        <w:trPr>
          <w:trHeight w:val="285"/>
        </w:trPr>
        <w:tc>
          <w:tcPr>
            <w:tcW w:w="1080" w:type="dxa"/>
            <w:tcBorders>
              <w:top w:val="nil"/>
              <w:left w:val="nil"/>
              <w:bottom w:val="nil"/>
              <w:right w:val="nil"/>
            </w:tcBorders>
            <w:shd w:val="clear" w:color="C0E6F5" w:fill="C0E6F5"/>
            <w:noWrap/>
            <w:vAlign w:val="bottom"/>
            <w:hideMark/>
          </w:tcPr>
          <w:p w14:paraId="34C6A8B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2016.583</w:t>
            </w:r>
          </w:p>
        </w:tc>
        <w:tc>
          <w:tcPr>
            <w:tcW w:w="1880" w:type="dxa"/>
            <w:tcBorders>
              <w:top w:val="nil"/>
              <w:left w:val="nil"/>
              <w:bottom w:val="nil"/>
              <w:right w:val="nil"/>
            </w:tcBorders>
            <w:shd w:val="clear" w:color="C0E6F5" w:fill="C0E6F5"/>
            <w:noWrap/>
            <w:vAlign w:val="bottom"/>
            <w:hideMark/>
          </w:tcPr>
          <w:p w14:paraId="4442926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110.723</w:t>
            </w:r>
          </w:p>
        </w:tc>
        <w:tc>
          <w:tcPr>
            <w:tcW w:w="1300" w:type="dxa"/>
            <w:tcBorders>
              <w:top w:val="nil"/>
              <w:left w:val="nil"/>
              <w:bottom w:val="nil"/>
              <w:right w:val="nil"/>
            </w:tcBorders>
            <w:shd w:val="clear" w:color="C0E6F5" w:fill="C0E6F5"/>
            <w:noWrap/>
            <w:vAlign w:val="bottom"/>
            <w:hideMark/>
          </w:tcPr>
          <w:p w14:paraId="48F735C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109.987</w:t>
            </w:r>
          </w:p>
        </w:tc>
        <w:tc>
          <w:tcPr>
            <w:tcW w:w="1300" w:type="dxa"/>
            <w:tcBorders>
              <w:top w:val="nil"/>
              <w:left w:val="nil"/>
              <w:bottom w:val="nil"/>
              <w:right w:val="nil"/>
            </w:tcBorders>
            <w:shd w:val="clear" w:color="C0E6F5" w:fill="C0E6F5"/>
            <w:noWrap/>
            <w:vAlign w:val="bottom"/>
            <w:hideMark/>
          </w:tcPr>
          <w:p w14:paraId="4ED82F79"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111.459</w:t>
            </w:r>
          </w:p>
        </w:tc>
        <w:tc>
          <w:tcPr>
            <w:tcW w:w="1300" w:type="dxa"/>
            <w:tcBorders>
              <w:top w:val="nil"/>
              <w:left w:val="nil"/>
              <w:bottom w:val="nil"/>
              <w:right w:val="nil"/>
            </w:tcBorders>
            <w:shd w:val="clear" w:color="C0E6F5" w:fill="C0E6F5"/>
            <w:noWrap/>
            <w:vAlign w:val="bottom"/>
            <w:hideMark/>
          </w:tcPr>
          <w:p w14:paraId="56A216A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109.597</w:t>
            </w:r>
          </w:p>
        </w:tc>
        <w:tc>
          <w:tcPr>
            <w:tcW w:w="1300" w:type="dxa"/>
            <w:tcBorders>
              <w:top w:val="nil"/>
              <w:left w:val="nil"/>
              <w:bottom w:val="nil"/>
              <w:right w:val="nil"/>
            </w:tcBorders>
            <w:shd w:val="clear" w:color="C0E6F5" w:fill="C0E6F5"/>
            <w:noWrap/>
            <w:vAlign w:val="bottom"/>
            <w:hideMark/>
          </w:tcPr>
          <w:p w14:paraId="234C4C3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111.849</w:t>
            </w:r>
          </w:p>
        </w:tc>
      </w:tr>
      <w:tr w:rsidR="001D790F" w:rsidRPr="001D790F" w14:paraId="10F38C35" w14:textId="77777777" w:rsidTr="001D790F">
        <w:trPr>
          <w:trHeight w:val="285"/>
        </w:trPr>
        <w:tc>
          <w:tcPr>
            <w:tcW w:w="1080" w:type="dxa"/>
            <w:tcBorders>
              <w:top w:val="nil"/>
              <w:left w:val="nil"/>
              <w:bottom w:val="nil"/>
              <w:right w:val="nil"/>
            </w:tcBorders>
            <w:shd w:val="clear" w:color="auto" w:fill="auto"/>
            <w:noWrap/>
            <w:vAlign w:val="bottom"/>
            <w:hideMark/>
          </w:tcPr>
          <w:p w14:paraId="3F57CAE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2016.667</w:t>
            </w:r>
          </w:p>
        </w:tc>
        <w:tc>
          <w:tcPr>
            <w:tcW w:w="1880" w:type="dxa"/>
            <w:tcBorders>
              <w:top w:val="nil"/>
              <w:left w:val="nil"/>
              <w:bottom w:val="nil"/>
              <w:right w:val="nil"/>
            </w:tcBorders>
            <w:shd w:val="clear" w:color="auto" w:fill="auto"/>
            <w:noWrap/>
            <w:vAlign w:val="bottom"/>
            <w:hideMark/>
          </w:tcPr>
          <w:p w14:paraId="260ECCF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110.352</w:t>
            </w:r>
          </w:p>
        </w:tc>
        <w:tc>
          <w:tcPr>
            <w:tcW w:w="1300" w:type="dxa"/>
            <w:tcBorders>
              <w:top w:val="nil"/>
              <w:left w:val="nil"/>
              <w:bottom w:val="nil"/>
              <w:right w:val="nil"/>
            </w:tcBorders>
            <w:shd w:val="clear" w:color="auto" w:fill="auto"/>
            <w:noWrap/>
            <w:vAlign w:val="bottom"/>
            <w:hideMark/>
          </w:tcPr>
          <w:p w14:paraId="20DAE90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108.811</w:t>
            </w:r>
          </w:p>
        </w:tc>
        <w:tc>
          <w:tcPr>
            <w:tcW w:w="1300" w:type="dxa"/>
            <w:tcBorders>
              <w:top w:val="nil"/>
              <w:left w:val="nil"/>
              <w:bottom w:val="nil"/>
              <w:right w:val="nil"/>
            </w:tcBorders>
            <w:shd w:val="clear" w:color="auto" w:fill="auto"/>
            <w:noWrap/>
            <w:vAlign w:val="bottom"/>
            <w:hideMark/>
          </w:tcPr>
          <w:p w14:paraId="092B0A6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111.893</w:t>
            </w:r>
          </w:p>
        </w:tc>
        <w:tc>
          <w:tcPr>
            <w:tcW w:w="1300" w:type="dxa"/>
            <w:tcBorders>
              <w:top w:val="nil"/>
              <w:left w:val="nil"/>
              <w:bottom w:val="nil"/>
              <w:right w:val="nil"/>
            </w:tcBorders>
            <w:shd w:val="clear" w:color="auto" w:fill="auto"/>
            <w:noWrap/>
            <w:vAlign w:val="bottom"/>
            <w:hideMark/>
          </w:tcPr>
          <w:p w14:paraId="533A451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107.995</w:t>
            </w:r>
          </w:p>
        </w:tc>
        <w:tc>
          <w:tcPr>
            <w:tcW w:w="1300" w:type="dxa"/>
            <w:tcBorders>
              <w:top w:val="nil"/>
              <w:left w:val="nil"/>
              <w:bottom w:val="nil"/>
              <w:right w:val="nil"/>
            </w:tcBorders>
            <w:shd w:val="clear" w:color="auto" w:fill="auto"/>
            <w:noWrap/>
            <w:vAlign w:val="bottom"/>
            <w:hideMark/>
          </w:tcPr>
          <w:p w14:paraId="7D78737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112.709</w:t>
            </w:r>
          </w:p>
        </w:tc>
      </w:tr>
      <w:tr w:rsidR="001D790F" w:rsidRPr="001D790F" w14:paraId="5B5CC9B5" w14:textId="77777777" w:rsidTr="001D790F">
        <w:trPr>
          <w:trHeight w:val="285"/>
        </w:trPr>
        <w:tc>
          <w:tcPr>
            <w:tcW w:w="1080" w:type="dxa"/>
            <w:tcBorders>
              <w:top w:val="nil"/>
              <w:left w:val="nil"/>
              <w:bottom w:val="nil"/>
              <w:right w:val="nil"/>
            </w:tcBorders>
            <w:shd w:val="clear" w:color="C0E6F5" w:fill="C0E6F5"/>
            <w:noWrap/>
            <w:vAlign w:val="bottom"/>
            <w:hideMark/>
          </w:tcPr>
          <w:p w14:paraId="6A56823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2016.75</w:t>
            </w:r>
          </w:p>
        </w:tc>
        <w:tc>
          <w:tcPr>
            <w:tcW w:w="1880" w:type="dxa"/>
            <w:tcBorders>
              <w:top w:val="nil"/>
              <w:left w:val="nil"/>
              <w:bottom w:val="nil"/>
              <w:right w:val="nil"/>
            </w:tcBorders>
            <w:shd w:val="clear" w:color="C0E6F5" w:fill="C0E6F5"/>
            <w:noWrap/>
            <w:vAlign w:val="bottom"/>
            <w:hideMark/>
          </w:tcPr>
          <w:p w14:paraId="13CED50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109.453</w:t>
            </w:r>
          </w:p>
        </w:tc>
        <w:tc>
          <w:tcPr>
            <w:tcW w:w="1300" w:type="dxa"/>
            <w:tcBorders>
              <w:top w:val="nil"/>
              <w:left w:val="nil"/>
              <w:bottom w:val="nil"/>
              <w:right w:val="nil"/>
            </w:tcBorders>
            <w:shd w:val="clear" w:color="C0E6F5" w:fill="C0E6F5"/>
            <w:noWrap/>
            <w:vAlign w:val="bottom"/>
            <w:hideMark/>
          </w:tcPr>
          <w:p w14:paraId="00CEF48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107.137</w:t>
            </w:r>
          </w:p>
        </w:tc>
        <w:tc>
          <w:tcPr>
            <w:tcW w:w="1300" w:type="dxa"/>
            <w:tcBorders>
              <w:top w:val="nil"/>
              <w:left w:val="nil"/>
              <w:bottom w:val="nil"/>
              <w:right w:val="nil"/>
            </w:tcBorders>
            <w:shd w:val="clear" w:color="C0E6F5" w:fill="C0E6F5"/>
            <w:noWrap/>
            <w:vAlign w:val="bottom"/>
            <w:hideMark/>
          </w:tcPr>
          <w:p w14:paraId="1E871B4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111.768</w:t>
            </w:r>
          </w:p>
        </w:tc>
        <w:tc>
          <w:tcPr>
            <w:tcW w:w="1300" w:type="dxa"/>
            <w:tcBorders>
              <w:top w:val="nil"/>
              <w:left w:val="nil"/>
              <w:bottom w:val="nil"/>
              <w:right w:val="nil"/>
            </w:tcBorders>
            <w:shd w:val="clear" w:color="C0E6F5" w:fill="C0E6F5"/>
            <w:noWrap/>
            <w:vAlign w:val="bottom"/>
            <w:hideMark/>
          </w:tcPr>
          <w:p w14:paraId="402F77B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105.912</w:t>
            </w:r>
          </w:p>
        </w:tc>
        <w:tc>
          <w:tcPr>
            <w:tcW w:w="1300" w:type="dxa"/>
            <w:tcBorders>
              <w:top w:val="nil"/>
              <w:left w:val="nil"/>
              <w:bottom w:val="nil"/>
              <w:right w:val="nil"/>
            </w:tcBorders>
            <w:shd w:val="clear" w:color="C0E6F5" w:fill="C0E6F5"/>
            <w:noWrap/>
            <w:vAlign w:val="bottom"/>
            <w:hideMark/>
          </w:tcPr>
          <w:p w14:paraId="7811BBC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112.994</w:t>
            </w:r>
          </w:p>
        </w:tc>
      </w:tr>
      <w:tr w:rsidR="001D790F" w:rsidRPr="001D790F" w14:paraId="3A586D1F" w14:textId="77777777" w:rsidTr="001D790F">
        <w:trPr>
          <w:trHeight w:val="285"/>
        </w:trPr>
        <w:tc>
          <w:tcPr>
            <w:tcW w:w="1080" w:type="dxa"/>
            <w:tcBorders>
              <w:top w:val="nil"/>
              <w:left w:val="nil"/>
              <w:bottom w:val="nil"/>
              <w:right w:val="nil"/>
            </w:tcBorders>
            <w:shd w:val="clear" w:color="auto" w:fill="auto"/>
            <w:noWrap/>
            <w:vAlign w:val="bottom"/>
            <w:hideMark/>
          </w:tcPr>
          <w:p w14:paraId="11B3027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2016.833</w:t>
            </w:r>
          </w:p>
        </w:tc>
        <w:tc>
          <w:tcPr>
            <w:tcW w:w="1880" w:type="dxa"/>
            <w:tcBorders>
              <w:top w:val="nil"/>
              <w:left w:val="nil"/>
              <w:bottom w:val="nil"/>
              <w:right w:val="nil"/>
            </w:tcBorders>
            <w:shd w:val="clear" w:color="auto" w:fill="auto"/>
            <w:noWrap/>
            <w:vAlign w:val="bottom"/>
            <w:hideMark/>
          </w:tcPr>
          <w:p w14:paraId="1B73582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108.872</w:t>
            </w:r>
          </w:p>
        </w:tc>
        <w:tc>
          <w:tcPr>
            <w:tcW w:w="1300" w:type="dxa"/>
            <w:tcBorders>
              <w:top w:val="nil"/>
              <w:left w:val="nil"/>
              <w:bottom w:val="nil"/>
              <w:right w:val="nil"/>
            </w:tcBorders>
            <w:shd w:val="clear" w:color="auto" w:fill="auto"/>
            <w:noWrap/>
            <w:vAlign w:val="bottom"/>
            <w:hideMark/>
          </w:tcPr>
          <w:p w14:paraId="330A2C8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105.873</w:t>
            </w:r>
          </w:p>
        </w:tc>
        <w:tc>
          <w:tcPr>
            <w:tcW w:w="1300" w:type="dxa"/>
            <w:tcBorders>
              <w:top w:val="nil"/>
              <w:left w:val="nil"/>
              <w:bottom w:val="nil"/>
              <w:right w:val="nil"/>
            </w:tcBorders>
            <w:shd w:val="clear" w:color="auto" w:fill="auto"/>
            <w:noWrap/>
            <w:vAlign w:val="bottom"/>
            <w:hideMark/>
          </w:tcPr>
          <w:p w14:paraId="285B3F1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111.870</w:t>
            </w:r>
          </w:p>
        </w:tc>
        <w:tc>
          <w:tcPr>
            <w:tcW w:w="1300" w:type="dxa"/>
            <w:tcBorders>
              <w:top w:val="nil"/>
              <w:left w:val="nil"/>
              <w:bottom w:val="nil"/>
              <w:right w:val="nil"/>
            </w:tcBorders>
            <w:shd w:val="clear" w:color="auto" w:fill="auto"/>
            <w:noWrap/>
            <w:vAlign w:val="bottom"/>
            <w:hideMark/>
          </w:tcPr>
          <w:p w14:paraId="4F910FF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104.285</w:t>
            </w:r>
          </w:p>
        </w:tc>
        <w:tc>
          <w:tcPr>
            <w:tcW w:w="1300" w:type="dxa"/>
            <w:tcBorders>
              <w:top w:val="nil"/>
              <w:left w:val="nil"/>
              <w:bottom w:val="nil"/>
              <w:right w:val="nil"/>
            </w:tcBorders>
            <w:shd w:val="clear" w:color="auto" w:fill="auto"/>
            <w:noWrap/>
            <w:vAlign w:val="bottom"/>
            <w:hideMark/>
          </w:tcPr>
          <w:p w14:paraId="0B1EDED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113.458</w:t>
            </w:r>
          </w:p>
        </w:tc>
      </w:tr>
      <w:tr w:rsidR="001D790F" w:rsidRPr="001D790F" w14:paraId="73E269E4" w14:textId="77777777" w:rsidTr="001D790F">
        <w:trPr>
          <w:trHeight w:val="285"/>
        </w:trPr>
        <w:tc>
          <w:tcPr>
            <w:tcW w:w="1080" w:type="dxa"/>
            <w:tcBorders>
              <w:top w:val="nil"/>
              <w:left w:val="nil"/>
              <w:bottom w:val="nil"/>
              <w:right w:val="nil"/>
            </w:tcBorders>
            <w:shd w:val="clear" w:color="C0E6F5" w:fill="C0E6F5"/>
            <w:noWrap/>
            <w:vAlign w:val="bottom"/>
            <w:hideMark/>
          </w:tcPr>
          <w:p w14:paraId="6D5F17E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2016.917</w:t>
            </w:r>
          </w:p>
        </w:tc>
        <w:tc>
          <w:tcPr>
            <w:tcW w:w="1880" w:type="dxa"/>
            <w:tcBorders>
              <w:top w:val="nil"/>
              <w:left w:val="nil"/>
              <w:bottom w:val="nil"/>
              <w:right w:val="nil"/>
            </w:tcBorders>
            <w:shd w:val="clear" w:color="C0E6F5" w:fill="C0E6F5"/>
            <w:noWrap/>
            <w:vAlign w:val="bottom"/>
            <w:hideMark/>
          </w:tcPr>
          <w:p w14:paraId="7423CF8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108.835</w:t>
            </w:r>
          </w:p>
        </w:tc>
        <w:tc>
          <w:tcPr>
            <w:tcW w:w="1300" w:type="dxa"/>
            <w:tcBorders>
              <w:top w:val="nil"/>
              <w:left w:val="nil"/>
              <w:bottom w:val="nil"/>
              <w:right w:val="nil"/>
            </w:tcBorders>
            <w:shd w:val="clear" w:color="C0E6F5" w:fill="C0E6F5"/>
            <w:noWrap/>
            <w:vAlign w:val="bottom"/>
            <w:hideMark/>
          </w:tcPr>
          <w:p w14:paraId="1CDC6DB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105.257</w:t>
            </w:r>
          </w:p>
        </w:tc>
        <w:tc>
          <w:tcPr>
            <w:tcW w:w="1300" w:type="dxa"/>
            <w:tcBorders>
              <w:top w:val="nil"/>
              <w:left w:val="nil"/>
              <w:bottom w:val="nil"/>
              <w:right w:val="nil"/>
            </w:tcBorders>
            <w:shd w:val="clear" w:color="C0E6F5" w:fill="C0E6F5"/>
            <w:noWrap/>
            <w:vAlign w:val="bottom"/>
            <w:hideMark/>
          </w:tcPr>
          <w:p w14:paraId="4F68F37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112.414</w:t>
            </w:r>
          </w:p>
        </w:tc>
        <w:tc>
          <w:tcPr>
            <w:tcW w:w="1300" w:type="dxa"/>
            <w:tcBorders>
              <w:top w:val="nil"/>
              <w:left w:val="nil"/>
              <w:bottom w:val="nil"/>
              <w:right w:val="nil"/>
            </w:tcBorders>
            <w:shd w:val="clear" w:color="C0E6F5" w:fill="C0E6F5"/>
            <w:noWrap/>
            <w:vAlign w:val="bottom"/>
            <w:hideMark/>
          </w:tcPr>
          <w:p w14:paraId="0850359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103.362</w:t>
            </w:r>
          </w:p>
        </w:tc>
        <w:tc>
          <w:tcPr>
            <w:tcW w:w="1300" w:type="dxa"/>
            <w:tcBorders>
              <w:top w:val="nil"/>
              <w:left w:val="nil"/>
              <w:bottom w:val="nil"/>
              <w:right w:val="nil"/>
            </w:tcBorders>
            <w:shd w:val="clear" w:color="C0E6F5" w:fill="C0E6F5"/>
            <w:noWrap/>
            <w:vAlign w:val="bottom"/>
            <w:hideMark/>
          </w:tcPr>
          <w:p w14:paraId="08244E7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114.308</w:t>
            </w:r>
          </w:p>
        </w:tc>
      </w:tr>
      <w:tr w:rsidR="001D790F" w:rsidRPr="001D790F" w14:paraId="684F1D72" w14:textId="77777777" w:rsidTr="001D790F">
        <w:trPr>
          <w:trHeight w:val="285"/>
        </w:trPr>
        <w:tc>
          <w:tcPr>
            <w:tcW w:w="1080" w:type="dxa"/>
            <w:tcBorders>
              <w:top w:val="nil"/>
              <w:left w:val="nil"/>
              <w:bottom w:val="nil"/>
              <w:right w:val="nil"/>
            </w:tcBorders>
            <w:shd w:val="clear" w:color="auto" w:fill="auto"/>
            <w:noWrap/>
            <w:vAlign w:val="bottom"/>
            <w:hideMark/>
          </w:tcPr>
          <w:p w14:paraId="5005410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w:t>
            </w:r>
          </w:p>
        </w:tc>
        <w:tc>
          <w:tcPr>
            <w:tcW w:w="1880" w:type="dxa"/>
            <w:tcBorders>
              <w:top w:val="nil"/>
              <w:left w:val="nil"/>
              <w:bottom w:val="nil"/>
              <w:right w:val="nil"/>
            </w:tcBorders>
            <w:shd w:val="clear" w:color="auto" w:fill="auto"/>
            <w:noWrap/>
            <w:vAlign w:val="bottom"/>
            <w:hideMark/>
          </w:tcPr>
          <w:p w14:paraId="749D2E8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109.283</w:t>
            </w:r>
          </w:p>
        </w:tc>
        <w:tc>
          <w:tcPr>
            <w:tcW w:w="1300" w:type="dxa"/>
            <w:tcBorders>
              <w:top w:val="nil"/>
              <w:left w:val="nil"/>
              <w:bottom w:val="nil"/>
              <w:right w:val="nil"/>
            </w:tcBorders>
            <w:shd w:val="clear" w:color="auto" w:fill="auto"/>
            <w:noWrap/>
            <w:vAlign w:val="bottom"/>
            <w:hideMark/>
          </w:tcPr>
          <w:p w14:paraId="4D0E70E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105.220</w:t>
            </w:r>
          </w:p>
        </w:tc>
        <w:tc>
          <w:tcPr>
            <w:tcW w:w="1300" w:type="dxa"/>
            <w:tcBorders>
              <w:top w:val="nil"/>
              <w:left w:val="nil"/>
              <w:bottom w:val="nil"/>
              <w:right w:val="nil"/>
            </w:tcBorders>
            <w:shd w:val="clear" w:color="auto" w:fill="auto"/>
            <w:noWrap/>
            <w:vAlign w:val="bottom"/>
            <w:hideMark/>
          </w:tcPr>
          <w:p w14:paraId="3E0DCD3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113.345</w:t>
            </w:r>
          </w:p>
        </w:tc>
        <w:tc>
          <w:tcPr>
            <w:tcW w:w="1300" w:type="dxa"/>
            <w:tcBorders>
              <w:top w:val="nil"/>
              <w:left w:val="nil"/>
              <w:bottom w:val="nil"/>
              <w:right w:val="nil"/>
            </w:tcBorders>
            <w:shd w:val="clear" w:color="auto" w:fill="auto"/>
            <w:noWrap/>
            <w:vAlign w:val="bottom"/>
            <w:hideMark/>
          </w:tcPr>
          <w:p w14:paraId="3287AB6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103.069</w:t>
            </w:r>
          </w:p>
        </w:tc>
        <w:tc>
          <w:tcPr>
            <w:tcW w:w="1300" w:type="dxa"/>
            <w:tcBorders>
              <w:top w:val="nil"/>
              <w:left w:val="nil"/>
              <w:bottom w:val="nil"/>
              <w:right w:val="nil"/>
            </w:tcBorders>
            <w:shd w:val="clear" w:color="auto" w:fill="auto"/>
            <w:noWrap/>
            <w:vAlign w:val="bottom"/>
            <w:hideMark/>
          </w:tcPr>
          <w:p w14:paraId="19C65247"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115.496</w:t>
            </w:r>
          </w:p>
        </w:tc>
      </w:tr>
      <w:tr w:rsidR="001D790F" w:rsidRPr="001D790F" w14:paraId="0F12BFFE" w14:textId="77777777" w:rsidTr="001D790F">
        <w:trPr>
          <w:trHeight w:val="285"/>
        </w:trPr>
        <w:tc>
          <w:tcPr>
            <w:tcW w:w="1080" w:type="dxa"/>
            <w:tcBorders>
              <w:top w:val="nil"/>
              <w:left w:val="nil"/>
              <w:bottom w:val="nil"/>
              <w:right w:val="nil"/>
            </w:tcBorders>
            <w:shd w:val="clear" w:color="C0E6F5" w:fill="C0E6F5"/>
            <w:noWrap/>
            <w:vAlign w:val="bottom"/>
            <w:hideMark/>
          </w:tcPr>
          <w:p w14:paraId="3E298C5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2017.083</w:t>
            </w:r>
          </w:p>
        </w:tc>
        <w:tc>
          <w:tcPr>
            <w:tcW w:w="1880" w:type="dxa"/>
            <w:tcBorders>
              <w:top w:val="nil"/>
              <w:left w:val="nil"/>
              <w:bottom w:val="nil"/>
              <w:right w:val="nil"/>
            </w:tcBorders>
            <w:shd w:val="clear" w:color="C0E6F5" w:fill="C0E6F5"/>
            <w:noWrap/>
            <w:vAlign w:val="bottom"/>
            <w:hideMark/>
          </w:tcPr>
          <w:p w14:paraId="5AF984A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109.842</w:t>
            </w:r>
          </w:p>
        </w:tc>
        <w:tc>
          <w:tcPr>
            <w:tcW w:w="1300" w:type="dxa"/>
            <w:tcBorders>
              <w:top w:val="nil"/>
              <w:left w:val="nil"/>
              <w:bottom w:val="nil"/>
              <w:right w:val="nil"/>
            </w:tcBorders>
            <w:shd w:val="clear" w:color="C0E6F5" w:fill="C0E6F5"/>
            <w:noWrap/>
            <w:vAlign w:val="bottom"/>
            <w:hideMark/>
          </w:tcPr>
          <w:p w14:paraId="3161CF9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105.378</w:t>
            </w:r>
          </w:p>
        </w:tc>
        <w:tc>
          <w:tcPr>
            <w:tcW w:w="1300" w:type="dxa"/>
            <w:tcBorders>
              <w:top w:val="nil"/>
              <w:left w:val="nil"/>
              <w:bottom w:val="nil"/>
              <w:right w:val="nil"/>
            </w:tcBorders>
            <w:shd w:val="clear" w:color="C0E6F5" w:fill="C0E6F5"/>
            <w:noWrap/>
            <w:vAlign w:val="bottom"/>
            <w:hideMark/>
          </w:tcPr>
          <w:p w14:paraId="10665337"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114.305</w:t>
            </w:r>
          </w:p>
        </w:tc>
        <w:tc>
          <w:tcPr>
            <w:tcW w:w="1300" w:type="dxa"/>
            <w:tcBorders>
              <w:top w:val="nil"/>
              <w:left w:val="nil"/>
              <w:bottom w:val="nil"/>
              <w:right w:val="nil"/>
            </w:tcBorders>
            <w:shd w:val="clear" w:color="C0E6F5" w:fill="C0E6F5"/>
            <w:noWrap/>
            <w:vAlign w:val="bottom"/>
            <w:hideMark/>
          </w:tcPr>
          <w:p w14:paraId="409319A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103.015</w:t>
            </w:r>
          </w:p>
        </w:tc>
        <w:tc>
          <w:tcPr>
            <w:tcW w:w="1300" w:type="dxa"/>
            <w:tcBorders>
              <w:top w:val="nil"/>
              <w:left w:val="nil"/>
              <w:bottom w:val="nil"/>
              <w:right w:val="nil"/>
            </w:tcBorders>
            <w:shd w:val="clear" w:color="C0E6F5" w:fill="C0E6F5"/>
            <w:noWrap/>
            <w:vAlign w:val="bottom"/>
            <w:hideMark/>
          </w:tcPr>
          <w:p w14:paraId="664C101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116.668</w:t>
            </w:r>
          </w:p>
        </w:tc>
      </w:tr>
      <w:tr w:rsidR="001D790F" w:rsidRPr="001D790F" w14:paraId="3BFA8569" w14:textId="77777777" w:rsidTr="001D790F">
        <w:trPr>
          <w:trHeight w:val="285"/>
        </w:trPr>
        <w:tc>
          <w:tcPr>
            <w:tcW w:w="1080" w:type="dxa"/>
            <w:tcBorders>
              <w:top w:val="nil"/>
              <w:left w:val="nil"/>
              <w:bottom w:val="nil"/>
              <w:right w:val="nil"/>
            </w:tcBorders>
            <w:shd w:val="clear" w:color="auto" w:fill="auto"/>
            <w:noWrap/>
            <w:vAlign w:val="bottom"/>
            <w:hideMark/>
          </w:tcPr>
          <w:p w14:paraId="5D5C212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2017.167</w:t>
            </w:r>
          </w:p>
        </w:tc>
        <w:tc>
          <w:tcPr>
            <w:tcW w:w="1880" w:type="dxa"/>
            <w:tcBorders>
              <w:top w:val="nil"/>
              <w:left w:val="nil"/>
              <w:bottom w:val="nil"/>
              <w:right w:val="nil"/>
            </w:tcBorders>
            <w:shd w:val="clear" w:color="auto" w:fill="auto"/>
            <w:noWrap/>
            <w:vAlign w:val="bottom"/>
            <w:hideMark/>
          </w:tcPr>
          <w:p w14:paraId="326FCF1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110.672</w:t>
            </w:r>
          </w:p>
        </w:tc>
        <w:tc>
          <w:tcPr>
            <w:tcW w:w="1300" w:type="dxa"/>
            <w:tcBorders>
              <w:top w:val="nil"/>
              <w:left w:val="nil"/>
              <w:bottom w:val="nil"/>
              <w:right w:val="nil"/>
            </w:tcBorders>
            <w:shd w:val="clear" w:color="auto" w:fill="auto"/>
            <w:noWrap/>
            <w:vAlign w:val="bottom"/>
            <w:hideMark/>
          </w:tcPr>
          <w:p w14:paraId="0669B3D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105.876</w:t>
            </w:r>
          </w:p>
        </w:tc>
        <w:tc>
          <w:tcPr>
            <w:tcW w:w="1300" w:type="dxa"/>
            <w:tcBorders>
              <w:top w:val="nil"/>
              <w:left w:val="nil"/>
              <w:bottom w:val="nil"/>
              <w:right w:val="nil"/>
            </w:tcBorders>
            <w:shd w:val="clear" w:color="auto" w:fill="auto"/>
            <w:noWrap/>
            <w:vAlign w:val="bottom"/>
            <w:hideMark/>
          </w:tcPr>
          <w:p w14:paraId="20247E2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115.467</w:t>
            </w:r>
          </w:p>
        </w:tc>
        <w:tc>
          <w:tcPr>
            <w:tcW w:w="1300" w:type="dxa"/>
            <w:tcBorders>
              <w:top w:val="nil"/>
              <w:left w:val="nil"/>
              <w:bottom w:val="nil"/>
              <w:right w:val="nil"/>
            </w:tcBorders>
            <w:shd w:val="clear" w:color="auto" w:fill="auto"/>
            <w:noWrap/>
            <w:vAlign w:val="bottom"/>
            <w:hideMark/>
          </w:tcPr>
          <w:p w14:paraId="330818C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103.338</w:t>
            </w:r>
          </w:p>
        </w:tc>
        <w:tc>
          <w:tcPr>
            <w:tcW w:w="1300" w:type="dxa"/>
            <w:tcBorders>
              <w:top w:val="nil"/>
              <w:left w:val="nil"/>
              <w:bottom w:val="nil"/>
              <w:right w:val="nil"/>
            </w:tcBorders>
            <w:shd w:val="clear" w:color="auto" w:fill="auto"/>
            <w:noWrap/>
            <w:vAlign w:val="bottom"/>
            <w:hideMark/>
          </w:tcPr>
          <w:p w14:paraId="58AB3AC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118.006</w:t>
            </w:r>
          </w:p>
        </w:tc>
      </w:tr>
      <w:tr w:rsidR="001D790F" w:rsidRPr="001D790F" w14:paraId="2566A780" w14:textId="77777777" w:rsidTr="001D790F">
        <w:trPr>
          <w:trHeight w:val="285"/>
        </w:trPr>
        <w:tc>
          <w:tcPr>
            <w:tcW w:w="1080" w:type="dxa"/>
            <w:tcBorders>
              <w:top w:val="nil"/>
              <w:left w:val="nil"/>
              <w:bottom w:val="nil"/>
              <w:right w:val="nil"/>
            </w:tcBorders>
            <w:shd w:val="clear" w:color="C0E6F5" w:fill="C0E6F5"/>
            <w:noWrap/>
            <w:vAlign w:val="bottom"/>
            <w:hideMark/>
          </w:tcPr>
          <w:p w14:paraId="14DCF1E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2017.25</w:t>
            </w:r>
          </w:p>
        </w:tc>
        <w:tc>
          <w:tcPr>
            <w:tcW w:w="1880" w:type="dxa"/>
            <w:tcBorders>
              <w:top w:val="nil"/>
              <w:left w:val="nil"/>
              <w:bottom w:val="nil"/>
              <w:right w:val="nil"/>
            </w:tcBorders>
            <w:shd w:val="clear" w:color="C0E6F5" w:fill="C0E6F5"/>
            <w:noWrap/>
            <w:vAlign w:val="bottom"/>
            <w:hideMark/>
          </w:tcPr>
          <w:p w14:paraId="7B39D05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111.481</w:t>
            </w:r>
          </w:p>
        </w:tc>
        <w:tc>
          <w:tcPr>
            <w:tcW w:w="1300" w:type="dxa"/>
            <w:tcBorders>
              <w:top w:val="nil"/>
              <w:left w:val="nil"/>
              <w:bottom w:val="nil"/>
              <w:right w:val="nil"/>
            </w:tcBorders>
            <w:shd w:val="clear" w:color="C0E6F5" w:fill="C0E6F5"/>
            <w:noWrap/>
            <w:vAlign w:val="bottom"/>
            <w:hideMark/>
          </w:tcPr>
          <w:p w14:paraId="73FA58C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106.411</w:t>
            </w:r>
          </w:p>
        </w:tc>
        <w:tc>
          <w:tcPr>
            <w:tcW w:w="1300" w:type="dxa"/>
            <w:tcBorders>
              <w:top w:val="nil"/>
              <w:left w:val="nil"/>
              <w:bottom w:val="nil"/>
              <w:right w:val="nil"/>
            </w:tcBorders>
            <w:shd w:val="clear" w:color="C0E6F5" w:fill="C0E6F5"/>
            <w:noWrap/>
            <w:vAlign w:val="bottom"/>
            <w:hideMark/>
          </w:tcPr>
          <w:p w14:paraId="662C5C3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116.552</w:t>
            </w:r>
          </w:p>
        </w:tc>
        <w:tc>
          <w:tcPr>
            <w:tcW w:w="1300" w:type="dxa"/>
            <w:tcBorders>
              <w:top w:val="nil"/>
              <w:left w:val="nil"/>
              <w:bottom w:val="nil"/>
              <w:right w:val="nil"/>
            </w:tcBorders>
            <w:shd w:val="clear" w:color="C0E6F5" w:fill="C0E6F5"/>
            <w:noWrap/>
            <w:vAlign w:val="bottom"/>
            <w:hideMark/>
          </w:tcPr>
          <w:p w14:paraId="4ED9FA4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103.727</w:t>
            </w:r>
          </w:p>
        </w:tc>
        <w:tc>
          <w:tcPr>
            <w:tcW w:w="1300" w:type="dxa"/>
            <w:tcBorders>
              <w:top w:val="nil"/>
              <w:left w:val="nil"/>
              <w:bottom w:val="nil"/>
              <w:right w:val="nil"/>
            </w:tcBorders>
            <w:shd w:val="clear" w:color="C0E6F5" w:fill="C0E6F5"/>
            <w:noWrap/>
            <w:vAlign w:val="bottom"/>
            <w:hideMark/>
          </w:tcPr>
          <w:p w14:paraId="1B624E6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119.236</w:t>
            </w:r>
          </w:p>
        </w:tc>
      </w:tr>
      <w:tr w:rsidR="001D790F" w:rsidRPr="001D790F" w14:paraId="142A10F0" w14:textId="77777777" w:rsidTr="001D790F">
        <w:trPr>
          <w:trHeight w:val="285"/>
        </w:trPr>
        <w:tc>
          <w:tcPr>
            <w:tcW w:w="1080" w:type="dxa"/>
            <w:tcBorders>
              <w:top w:val="nil"/>
              <w:left w:val="nil"/>
              <w:bottom w:val="nil"/>
              <w:right w:val="nil"/>
            </w:tcBorders>
            <w:shd w:val="clear" w:color="auto" w:fill="auto"/>
            <w:noWrap/>
            <w:vAlign w:val="bottom"/>
            <w:hideMark/>
          </w:tcPr>
          <w:p w14:paraId="6E34AA6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2017.333</w:t>
            </w:r>
          </w:p>
        </w:tc>
        <w:tc>
          <w:tcPr>
            <w:tcW w:w="1880" w:type="dxa"/>
            <w:tcBorders>
              <w:top w:val="nil"/>
              <w:left w:val="nil"/>
              <w:bottom w:val="nil"/>
              <w:right w:val="nil"/>
            </w:tcBorders>
            <w:shd w:val="clear" w:color="auto" w:fill="auto"/>
            <w:noWrap/>
            <w:vAlign w:val="bottom"/>
            <w:hideMark/>
          </w:tcPr>
          <w:p w14:paraId="757AD1A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112.683</w:t>
            </w:r>
          </w:p>
        </w:tc>
        <w:tc>
          <w:tcPr>
            <w:tcW w:w="1300" w:type="dxa"/>
            <w:tcBorders>
              <w:top w:val="nil"/>
              <w:left w:val="nil"/>
              <w:bottom w:val="nil"/>
              <w:right w:val="nil"/>
            </w:tcBorders>
            <w:shd w:val="clear" w:color="auto" w:fill="auto"/>
            <w:noWrap/>
            <w:vAlign w:val="bottom"/>
            <w:hideMark/>
          </w:tcPr>
          <w:p w14:paraId="03CA5E4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107.384</w:t>
            </w:r>
          </w:p>
        </w:tc>
        <w:tc>
          <w:tcPr>
            <w:tcW w:w="1300" w:type="dxa"/>
            <w:tcBorders>
              <w:top w:val="nil"/>
              <w:left w:val="nil"/>
              <w:bottom w:val="nil"/>
              <w:right w:val="nil"/>
            </w:tcBorders>
            <w:shd w:val="clear" w:color="auto" w:fill="auto"/>
            <w:noWrap/>
            <w:vAlign w:val="bottom"/>
            <w:hideMark/>
          </w:tcPr>
          <w:p w14:paraId="058F4C1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117.982</w:t>
            </w:r>
          </w:p>
        </w:tc>
        <w:tc>
          <w:tcPr>
            <w:tcW w:w="1300" w:type="dxa"/>
            <w:tcBorders>
              <w:top w:val="nil"/>
              <w:left w:val="nil"/>
              <w:bottom w:val="nil"/>
              <w:right w:val="nil"/>
            </w:tcBorders>
            <w:shd w:val="clear" w:color="auto" w:fill="auto"/>
            <w:noWrap/>
            <w:vAlign w:val="bottom"/>
            <w:hideMark/>
          </w:tcPr>
          <w:p w14:paraId="6567E69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104.578</w:t>
            </w:r>
          </w:p>
        </w:tc>
        <w:tc>
          <w:tcPr>
            <w:tcW w:w="1300" w:type="dxa"/>
            <w:tcBorders>
              <w:top w:val="nil"/>
              <w:left w:val="nil"/>
              <w:bottom w:val="nil"/>
              <w:right w:val="nil"/>
            </w:tcBorders>
            <w:shd w:val="clear" w:color="auto" w:fill="auto"/>
            <w:noWrap/>
            <w:vAlign w:val="bottom"/>
            <w:hideMark/>
          </w:tcPr>
          <w:p w14:paraId="5E0580C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120.787</w:t>
            </w:r>
          </w:p>
        </w:tc>
      </w:tr>
      <w:tr w:rsidR="001D790F" w:rsidRPr="001D790F" w14:paraId="18CCF70F" w14:textId="77777777" w:rsidTr="001D790F">
        <w:trPr>
          <w:trHeight w:val="285"/>
        </w:trPr>
        <w:tc>
          <w:tcPr>
            <w:tcW w:w="1080" w:type="dxa"/>
            <w:tcBorders>
              <w:top w:val="nil"/>
              <w:left w:val="nil"/>
              <w:bottom w:val="nil"/>
              <w:right w:val="nil"/>
            </w:tcBorders>
            <w:shd w:val="clear" w:color="C0E6F5" w:fill="C0E6F5"/>
            <w:noWrap/>
            <w:vAlign w:val="bottom"/>
            <w:hideMark/>
          </w:tcPr>
          <w:p w14:paraId="2CD874F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2017.417</w:t>
            </w:r>
          </w:p>
        </w:tc>
        <w:tc>
          <w:tcPr>
            <w:tcW w:w="1880" w:type="dxa"/>
            <w:tcBorders>
              <w:top w:val="nil"/>
              <w:left w:val="nil"/>
              <w:bottom w:val="nil"/>
              <w:right w:val="nil"/>
            </w:tcBorders>
            <w:shd w:val="clear" w:color="C0E6F5" w:fill="C0E6F5"/>
            <w:noWrap/>
            <w:vAlign w:val="bottom"/>
            <w:hideMark/>
          </w:tcPr>
          <w:p w14:paraId="070C274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113.791</w:t>
            </w:r>
          </w:p>
        </w:tc>
        <w:tc>
          <w:tcPr>
            <w:tcW w:w="1300" w:type="dxa"/>
            <w:tcBorders>
              <w:top w:val="nil"/>
              <w:left w:val="nil"/>
              <w:bottom w:val="nil"/>
              <w:right w:val="nil"/>
            </w:tcBorders>
            <w:shd w:val="clear" w:color="C0E6F5" w:fill="C0E6F5"/>
            <w:noWrap/>
            <w:vAlign w:val="bottom"/>
            <w:hideMark/>
          </w:tcPr>
          <w:p w14:paraId="784AEEA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108.301</w:t>
            </w:r>
          </w:p>
        </w:tc>
        <w:tc>
          <w:tcPr>
            <w:tcW w:w="1300" w:type="dxa"/>
            <w:tcBorders>
              <w:top w:val="nil"/>
              <w:left w:val="nil"/>
              <w:bottom w:val="nil"/>
              <w:right w:val="nil"/>
            </w:tcBorders>
            <w:shd w:val="clear" w:color="C0E6F5" w:fill="C0E6F5"/>
            <w:noWrap/>
            <w:vAlign w:val="bottom"/>
            <w:hideMark/>
          </w:tcPr>
          <w:p w14:paraId="6DB2A18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119.281</w:t>
            </w:r>
          </w:p>
        </w:tc>
        <w:tc>
          <w:tcPr>
            <w:tcW w:w="1300" w:type="dxa"/>
            <w:tcBorders>
              <w:top w:val="nil"/>
              <w:left w:val="nil"/>
              <w:bottom w:val="nil"/>
              <w:right w:val="nil"/>
            </w:tcBorders>
            <w:shd w:val="clear" w:color="C0E6F5" w:fill="C0E6F5"/>
            <w:noWrap/>
            <w:vAlign w:val="bottom"/>
            <w:hideMark/>
          </w:tcPr>
          <w:p w14:paraId="78EAE97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105.395</w:t>
            </w:r>
          </w:p>
        </w:tc>
        <w:tc>
          <w:tcPr>
            <w:tcW w:w="1300" w:type="dxa"/>
            <w:tcBorders>
              <w:top w:val="nil"/>
              <w:left w:val="nil"/>
              <w:bottom w:val="nil"/>
              <w:right w:val="nil"/>
            </w:tcBorders>
            <w:shd w:val="clear" w:color="C0E6F5" w:fill="C0E6F5"/>
            <w:noWrap/>
            <w:vAlign w:val="bottom"/>
            <w:hideMark/>
          </w:tcPr>
          <w:p w14:paraId="670A7F9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122.188</w:t>
            </w:r>
          </w:p>
        </w:tc>
      </w:tr>
      <w:tr w:rsidR="001D790F" w:rsidRPr="001D790F" w14:paraId="1949C607" w14:textId="77777777" w:rsidTr="001D790F">
        <w:trPr>
          <w:trHeight w:val="285"/>
        </w:trPr>
        <w:tc>
          <w:tcPr>
            <w:tcW w:w="1080" w:type="dxa"/>
            <w:tcBorders>
              <w:top w:val="nil"/>
              <w:left w:val="nil"/>
              <w:bottom w:val="nil"/>
              <w:right w:val="nil"/>
            </w:tcBorders>
            <w:shd w:val="clear" w:color="auto" w:fill="auto"/>
            <w:noWrap/>
            <w:vAlign w:val="bottom"/>
            <w:hideMark/>
          </w:tcPr>
          <w:p w14:paraId="0A2EA6F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2017.5</w:t>
            </w:r>
          </w:p>
        </w:tc>
        <w:tc>
          <w:tcPr>
            <w:tcW w:w="1880" w:type="dxa"/>
            <w:tcBorders>
              <w:top w:val="nil"/>
              <w:left w:val="nil"/>
              <w:bottom w:val="nil"/>
              <w:right w:val="nil"/>
            </w:tcBorders>
            <w:shd w:val="clear" w:color="auto" w:fill="auto"/>
            <w:noWrap/>
            <w:vAlign w:val="bottom"/>
            <w:hideMark/>
          </w:tcPr>
          <w:p w14:paraId="3AC7DAC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114.602</w:t>
            </w:r>
          </w:p>
        </w:tc>
        <w:tc>
          <w:tcPr>
            <w:tcW w:w="1300" w:type="dxa"/>
            <w:tcBorders>
              <w:top w:val="nil"/>
              <w:left w:val="nil"/>
              <w:bottom w:val="nil"/>
              <w:right w:val="nil"/>
            </w:tcBorders>
            <w:shd w:val="clear" w:color="auto" w:fill="auto"/>
            <w:noWrap/>
            <w:vAlign w:val="bottom"/>
            <w:hideMark/>
          </w:tcPr>
          <w:p w14:paraId="20219D2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108.952</w:t>
            </w:r>
          </w:p>
        </w:tc>
        <w:tc>
          <w:tcPr>
            <w:tcW w:w="1300" w:type="dxa"/>
            <w:tcBorders>
              <w:top w:val="nil"/>
              <w:left w:val="nil"/>
              <w:bottom w:val="nil"/>
              <w:right w:val="nil"/>
            </w:tcBorders>
            <w:shd w:val="clear" w:color="auto" w:fill="auto"/>
            <w:noWrap/>
            <w:vAlign w:val="bottom"/>
            <w:hideMark/>
          </w:tcPr>
          <w:p w14:paraId="4495A65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120.251</w:t>
            </w:r>
          </w:p>
        </w:tc>
        <w:tc>
          <w:tcPr>
            <w:tcW w:w="1300" w:type="dxa"/>
            <w:tcBorders>
              <w:top w:val="nil"/>
              <w:left w:val="nil"/>
              <w:bottom w:val="nil"/>
              <w:right w:val="nil"/>
            </w:tcBorders>
            <w:shd w:val="clear" w:color="auto" w:fill="auto"/>
            <w:noWrap/>
            <w:vAlign w:val="bottom"/>
            <w:hideMark/>
          </w:tcPr>
          <w:p w14:paraId="3C1C6AD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105.961</w:t>
            </w:r>
          </w:p>
        </w:tc>
        <w:tc>
          <w:tcPr>
            <w:tcW w:w="1300" w:type="dxa"/>
            <w:tcBorders>
              <w:top w:val="nil"/>
              <w:left w:val="nil"/>
              <w:bottom w:val="nil"/>
              <w:right w:val="nil"/>
            </w:tcBorders>
            <w:shd w:val="clear" w:color="auto" w:fill="auto"/>
            <w:noWrap/>
            <w:vAlign w:val="bottom"/>
            <w:hideMark/>
          </w:tcPr>
          <w:p w14:paraId="293CB71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123.242</w:t>
            </w:r>
          </w:p>
        </w:tc>
      </w:tr>
      <w:tr w:rsidR="001D790F" w:rsidRPr="001D790F" w14:paraId="30A141FC" w14:textId="77777777" w:rsidTr="001D790F">
        <w:trPr>
          <w:trHeight w:val="285"/>
        </w:trPr>
        <w:tc>
          <w:tcPr>
            <w:tcW w:w="1080" w:type="dxa"/>
            <w:tcBorders>
              <w:top w:val="nil"/>
              <w:left w:val="nil"/>
              <w:bottom w:val="nil"/>
              <w:right w:val="nil"/>
            </w:tcBorders>
            <w:shd w:val="clear" w:color="C0E6F5" w:fill="C0E6F5"/>
            <w:noWrap/>
            <w:vAlign w:val="bottom"/>
            <w:hideMark/>
          </w:tcPr>
          <w:p w14:paraId="3E3EC30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2017.583</w:t>
            </w:r>
          </w:p>
        </w:tc>
        <w:tc>
          <w:tcPr>
            <w:tcW w:w="1880" w:type="dxa"/>
            <w:tcBorders>
              <w:top w:val="nil"/>
              <w:left w:val="nil"/>
              <w:bottom w:val="nil"/>
              <w:right w:val="nil"/>
            </w:tcBorders>
            <w:shd w:val="clear" w:color="C0E6F5" w:fill="C0E6F5"/>
            <w:noWrap/>
            <w:vAlign w:val="bottom"/>
            <w:hideMark/>
          </w:tcPr>
          <w:p w14:paraId="08CBA34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114.674</w:t>
            </w:r>
          </w:p>
        </w:tc>
        <w:tc>
          <w:tcPr>
            <w:tcW w:w="1300" w:type="dxa"/>
            <w:tcBorders>
              <w:top w:val="nil"/>
              <w:left w:val="nil"/>
              <w:bottom w:val="nil"/>
              <w:right w:val="nil"/>
            </w:tcBorders>
            <w:shd w:val="clear" w:color="C0E6F5" w:fill="C0E6F5"/>
            <w:noWrap/>
            <w:vAlign w:val="bottom"/>
            <w:hideMark/>
          </w:tcPr>
          <w:p w14:paraId="0743B13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108.869</w:t>
            </w:r>
          </w:p>
        </w:tc>
        <w:tc>
          <w:tcPr>
            <w:tcW w:w="1300" w:type="dxa"/>
            <w:tcBorders>
              <w:top w:val="nil"/>
              <w:left w:val="nil"/>
              <w:bottom w:val="nil"/>
              <w:right w:val="nil"/>
            </w:tcBorders>
            <w:shd w:val="clear" w:color="C0E6F5" w:fill="C0E6F5"/>
            <w:noWrap/>
            <w:vAlign w:val="bottom"/>
            <w:hideMark/>
          </w:tcPr>
          <w:p w14:paraId="4AF14279"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120.478</w:t>
            </w:r>
          </w:p>
        </w:tc>
        <w:tc>
          <w:tcPr>
            <w:tcW w:w="1300" w:type="dxa"/>
            <w:tcBorders>
              <w:top w:val="nil"/>
              <w:left w:val="nil"/>
              <w:bottom w:val="nil"/>
              <w:right w:val="nil"/>
            </w:tcBorders>
            <w:shd w:val="clear" w:color="C0E6F5" w:fill="C0E6F5"/>
            <w:noWrap/>
            <w:vAlign w:val="bottom"/>
            <w:hideMark/>
          </w:tcPr>
          <w:p w14:paraId="248FF31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105.797</w:t>
            </w:r>
          </w:p>
        </w:tc>
        <w:tc>
          <w:tcPr>
            <w:tcW w:w="1300" w:type="dxa"/>
            <w:tcBorders>
              <w:top w:val="nil"/>
              <w:left w:val="nil"/>
              <w:bottom w:val="nil"/>
              <w:right w:val="nil"/>
            </w:tcBorders>
            <w:shd w:val="clear" w:color="C0E6F5" w:fill="C0E6F5"/>
            <w:noWrap/>
            <w:vAlign w:val="bottom"/>
            <w:hideMark/>
          </w:tcPr>
          <w:p w14:paraId="416DE97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123.551</w:t>
            </w:r>
          </w:p>
        </w:tc>
      </w:tr>
      <w:tr w:rsidR="001D790F" w:rsidRPr="001D790F" w14:paraId="4C35B82C" w14:textId="77777777" w:rsidTr="001D790F">
        <w:trPr>
          <w:trHeight w:val="285"/>
        </w:trPr>
        <w:tc>
          <w:tcPr>
            <w:tcW w:w="1080" w:type="dxa"/>
            <w:tcBorders>
              <w:top w:val="nil"/>
              <w:left w:val="nil"/>
              <w:bottom w:val="nil"/>
              <w:right w:val="nil"/>
            </w:tcBorders>
            <w:shd w:val="clear" w:color="auto" w:fill="auto"/>
            <w:noWrap/>
            <w:vAlign w:val="bottom"/>
            <w:hideMark/>
          </w:tcPr>
          <w:p w14:paraId="356D2149"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2017.667</w:t>
            </w:r>
          </w:p>
        </w:tc>
        <w:tc>
          <w:tcPr>
            <w:tcW w:w="1880" w:type="dxa"/>
            <w:tcBorders>
              <w:top w:val="nil"/>
              <w:left w:val="nil"/>
              <w:bottom w:val="nil"/>
              <w:right w:val="nil"/>
            </w:tcBorders>
            <w:shd w:val="clear" w:color="auto" w:fill="auto"/>
            <w:noWrap/>
            <w:vAlign w:val="bottom"/>
            <w:hideMark/>
          </w:tcPr>
          <w:p w14:paraId="36A2C4F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114.777</w:t>
            </w:r>
          </w:p>
        </w:tc>
        <w:tc>
          <w:tcPr>
            <w:tcW w:w="1300" w:type="dxa"/>
            <w:tcBorders>
              <w:top w:val="nil"/>
              <w:left w:val="nil"/>
              <w:bottom w:val="nil"/>
              <w:right w:val="nil"/>
            </w:tcBorders>
            <w:shd w:val="clear" w:color="auto" w:fill="auto"/>
            <w:noWrap/>
            <w:vAlign w:val="bottom"/>
            <w:hideMark/>
          </w:tcPr>
          <w:p w14:paraId="1D6AEA3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108.825</w:t>
            </w:r>
          </w:p>
        </w:tc>
        <w:tc>
          <w:tcPr>
            <w:tcW w:w="1300" w:type="dxa"/>
            <w:tcBorders>
              <w:top w:val="nil"/>
              <w:left w:val="nil"/>
              <w:bottom w:val="nil"/>
              <w:right w:val="nil"/>
            </w:tcBorders>
            <w:shd w:val="clear" w:color="auto" w:fill="auto"/>
            <w:noWrap/>
            <w:vAlign w:val="bottom"/>
            <w:hideMark/>
          </w:tcPr>
          <w:p w14:paraId="29A8C39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120.730</w:t>
            </w:r>
          </w:p>
        </w:tc>
        <w:tc>
          <w:tcPr>
            <w:tcW w:w="1300" w:type="dxa"/>
            <w:tcBorders>
              <w:top w:val="nil"/>
              <w:left w:val="nil"/>
              <w:bottom w:val="nil"/>
              <w:right w:val="nil"/>
            </w:tcBorders>
            <w:shd w:val="clear" w:color="auto" w:fill="auto"/>
            <w:noWrap/>
            <w:vAlign w:val="bottom"/>
            <w:hideMark/>
          </w:tcPr>
          <w:p w14:paraId="4A64F9E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105.674</w:t>
            </w:r>
          </w:p>
        </w:tc>
        <w:tc>
          <w:tcPr>
            <w:tcW w:w="1300" w:type="dxa"/>
            <w:tcBorders>
              <w:top w:val="nil"/>
              <w:left w:val="nil"/>
              <w:bottom w:val="nil"/>
              <w:right w:val="nil"/>
            </w:tcBorders>
            <w:shd w:val="clear" w:color="auto" w:fill="auto"/>
            <w:noWrap/>
            <w:vAlign w:val="bottom"/>
            <w:hideMark/>
          </w:tcPr>
          <w:p w14:paraId="1ED4290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123.881</w:t>
            </w:r>
          </w:p>
        </w:tc>
      </w:tr>
      <w:tr w:rsidR="001D790F" w:rsidRPr="001D790F" w14:paraId="724A0FE2" w14:textId="77777777" w:rsidTr="001D790F">
        <w:trPr>
          <w:trHeight w:val="285"/>
        </w:trPr>
        <w:tc>
          <w:tcPr>
            <w:tcW w:w="1080" w:type="dxa"/>
            <w:tcBorders>
              <w:top w:val="nil"/>
              <w:left w:val="nil"/>
              <w:bottom w:val="nil"/>
              <w:right w:val="nil"/>
            </w:tcBorders>
            <w:shd w:val="clear" w:color="C0E6F5" w:fill="C0E6F5"/>
            <w:noWrap/>
            <w:vAlign w:val="bottom"/>
            <w:hideMark/>
          </w:tcPr>
          <w:p w14:paraId="43E73B4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2017.75</w:t>
            </w:r>
          </w:p>
        </w:tc>
        <w:tc>
          <w:tcPr>
            <w:tcW w:w="1880" w:type="dxa"/>
            <w:tcBorders>
              <w:top w:val="nil"/>
              <w:left w:val="nil"/>
              <w:bottom w:val="nil"/>
              <w:right w:val="nil"/>
            </w:tcBorders>
            <w:shd w:val="clear" w:color="C0E6F5" w:fill="C0E6F5"/>
            <w:noWrap/>
            <w:vAlign w:val="bottom"/>
            <w:hideMark/>
          </w:tcPr>
          <w:p w14:paraId="18DA4E6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114.122</w:t>
            </w:r>
          </w:p>
        </w:tc>
        <w:tc>
          <w:tcPr>
            <w:tcW w:w="1300" w:type="dxa"/>
            <w:tcBorders>
              <w:top w:val="nil"/>
              <w:left w:val="nil"/>
              <w:bottom w:val="nil"/>
              <w:right w:val="nil"/>
            </w:tcBorders>
            <w:shd w:val="clear" w:color="C0E6F5" w:fill="C0E6F5"/>
            <w:noWrap/>
            <w:vAlign w:val="bottom"/>
            <w:hideMark/>
          </w:tcPr>
          <w:p w14:paraId="09FF0BC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108.034</w:t>
            </w:r>
          </w:p>
        </w:tc>
        <w:tc>
          <w:tcPr>
            <w:tcW w:w="1300" w:type="dxa"/>
            <w:tcBorders>
              <w:top w:val="nil"/>
              <w:left w:val="nil"/>
              <w:bottom w:val="nil"/>
              <w:right w:val="nil"/>
            </w:tcBorders>
            <w:shd w:val="clear" w:color="C0E6F5" w:fill="C0E6F5"/>
            <w:noWrap/>
            <w:vAlign w:val="bottom"/>
            <w:hideMark/>
          </w:tcPr>
          <w:p w14:paraId="1872BD6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120.211</w:t>
            </w:r>
          </w:p>
        </w:tc>
        <w:tc>
          <w:tcPr>
            <w:tcW w:w="1300" w:type="dxa"/>
            <w:tcBorders>
              <w:top w:val="nil"/>
              <w:left w:val="nil"/>
              <w:bottom w:val="nil"/>
              <w:right w:val="nil"/>
            </w:tcBorders>
            <w:shd w:val="clear" w:color="C0E6F5" w:fill="C0E6F5"/>
            <w:noWrap/>
            <w:vAlign w:val="bottom"/>
            <w:hideMark/>
          </w:tcPr>
          <w:p w14:paraId="04D8436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104.811</w:t>
            </w:r>
          </w:p>
        </w:tc>
        <w:tc>
          <w:tcPr>
            <w:tcW w:w="1300" w:type="dxa"/>
            <w:tcBorders>
              <w:top w:val="nil"/>
              <w:left w:val="nil"/>
              <w:bottom w:val="nil"/>
              <w:right w:val="nil"/>
            </w:tcBorders>
            <w:shd w:val="clear" w:color="C0E6F5" w:fill="C0E6F5"/>
            <w:noWrap/>
            <w:vAlign w:val="bottom"/>
            <w:hideMark/>
          </w:tcPr>
          <w:p w14:paraId="779D8D7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123.434</w:t>
            </w:r>
          </w:p>
        </w:tc>
      </w:tr>
      <w:tr w:rsidR="001D790F" w:rsidRPr="001D790F" w14:paraId="6C08FE3E" w14:textId="77777777" w:rsidTr="001D790F">
        <w:trPr>
          <w:trHeight w:val="285"/>
        </w:trPr>
        <w:tc>
          <w:tcPr>
            <w:tcW w:w="1080" w:type="dxa"/>
            <w:tcBorders>
              <w:top w:val="nil"/>
              <w:left w:val="nil"/>
              <w:bottom w:val="nil"/>
              <w:right w:val="nil"/>
            </w:tcBorders>
            <w:shd w:val="clear" w:color="auto" w:fill="auto"/>
            <w:noWrap/>
            <w:vAlign w:val="bottom"/>
            <w:hideMark/>
          </w:tcPr>
          <w:p w14:paraId="1E504DB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2017.833</w:t>
            </w:r>
          </w:p>
        </w:tc>
        <w:tc>
          <w:tcPr>
            <w:tcW w:w="1880" w:type="dxa"/>
            <w:tcBorders>
              <w:top w:val="nil"/>
              <w:left w:val="nil"/>
              <w:bottom w:val="nil"/>
              <w:right w:val="nil"/>
            </w:tcBorders>
            <w:shd w:val="clear" w:color="auto" w:fill="auto"/>
            <w:noWrap/>
            <w:vAlign w:val="bottom"/>
            <w:hideMark/>
          </w:tcPr>
          <w:p w14:paraId="09C1F54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113.642</w:t>
            </w:r>
          </w:p>
        </w:tc>
        <w:tc>
          <w:tcPr>
            <w:tcW w:w="1300" w:type="dxa"/>
            <w:tcBorders>
              <w:top w:val="nil"/>
              <w:left w:val="nil"/>
              <w:bottom w:val="nil"/>
              <w:right w:val="nil"/>
            </w:tcBorders>
            <w:shd w:val="clear" w:color="auto" w:fill="auto"/>
            <w:noWrap/>
            <w:vAlign w:val="bottom"/>
            <w:hideMark/>
          </w:tcPr>
          <w:p w14:paraId="70EBFE3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107.431</w:t>
            </w:r>
          </w:p>
        </w:tc>
        <w:tc>
          <w:tcPr>
            <w:tcW w:w="1300" w:type="dxa"/>
            <w:tcBorders>
              <w:top w:val="nil"/>
              <w:left w:val="nil"/>
              <w:bottom w:val="nil"/>
              <w:right w:val="nil"/>
            </w:tcBorders>
            <w:shd w:val="clear" w:color="auto" w:fill="auto"/>
            <w:noWrap/>
            <w:vAlign w:val="bottom"/>
            <w:hideMark/>
          </w:tcPr>
          <w:p w14:paraId="28852249"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119.853</w:t>
            </w:r>
          </w:p>
        </w:tc>
        <w:tc>
          <w:tcPr>
            <w:tcW w:w="1300" w:type="dxa"/>
            <w:tcBorders>
              <w:top w:val="nil"/>
              <w:left w:val="nil"/>
              <w:bottom w:val="nil"/>
              <w:right w:val="nil"/>
            </w:tcBorders>
            <w:shd w:val="clear" w:color="auto" w:fill="auto"/>
            <w:noWrap/>
            <w:vAlign w:val="bottom"/>
            <w:hideMark/>
          </w:tcPr>
          <w:p w14:paraId="1680FFF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104.144</w:t>
            </w:r>
          </w:p>
        </w:tc>
        <w:tc>
          <w:tcPr>
            <w:tcW w:w="1300" w:type="dxa"/>
            <w:tcBorders>
              <w:top w:val="nil"/>
              <w:left w:val="nil"/>
              <w:bottom w:val="nil"/>
              <w:right w:val="nil"/>
            </w:tcBorders>
            <w:shd w:val="clear" w:color="auto" w:fill="auto"/>
            <w:noWrap/>
            <w:vAlign w:val="bottom"/>
            <w:hideMark/>
          </w:tcPr>
          <w:p w14:paraId="6DE7ADF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123.140</w:t>
            </w:r>
          </w:p>
        </w:tc>
      </w:tr>
      <w:tr w:rsidR="001D790F" w:rsidRPr="001D790F" w14:paraId="59EC899C" w14:textId="77777777" w:rsidTr="001D790F">
        <w:trPr>
          <w:trHeight w:val="285"/>
        </w:trPr>
        <w:tc>
          <w:tcPr>
            <w:tcW w:w="1080" w:type="dxa"/>
            <w:tcBorders>
              <w:top w:val="nil"/>
              <w:left w:val="nil"/>
              <w:bottom w:val="nil"/>
              <w:right w:val="nil"/>
            </w:tcBorders>
            <w:shd w:val="clear" w:color="C0E6F5" w:fill="C0E6F5"/>
            <w:noWrap/>
            <w:vAlign w:val="bottom"/>
            <w:hideMark/>
          </w:tcPr>
          <w:p w14:paraId="300E8EE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2017.917</w:t>
            </w:r>
          </w:p>
        </w:tc>
        <w:tc>
          <w:tcPr>
            <w:tcW w:w="1880" w:type="dxa"/>
            <w:tcBorders>
              <w:top w:val="nil"/>
              <w:left w:val="nil"/>
              <w:bottom w:val="nil"/>
              <w:right w:val="nil"/>
            </w:tcBorders>
            <w:shd w:val="clear" w:color="C0E6F5" w:fill="C0E6F5"/>
            <w:noWrap/>
            <w:vAlign w:val="bottom"/>
            <w:hideMark/>
          </w:tcPr>
          <w:p w14:paraId="398E046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113.621</w:t>
            </w:r>
          </w:p>
        </w:tc>
        <w:tc>
          <w:tcPr>
            <w:tcW w:w="1300" w:type="dxa"/>
            <w:tcBorders>
              <w:top w:val="nil"/>
              <w:left w:val="nil"/>
              <w:bottom w:val="nil"/>
              <w:right w:val="nil"/>
            </w:tcBorders>
            <w:shd w:val="clear" w:color="C0E6F5" w:fill="C0E6F5"/>
            <w:noWrap/>
            <w:vAlign w:val="bottom"/>
            <w:hideMark/>
          </w:tcPr>
          <w:p w14:paraId="184C7369"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107.304</w:t>
            </w:r>
          </w:p>
        </w:tc>
        <w:tc>
          <w:tcPr>
            <w:tcW w:w="1300" w:type="dxa"/>
            <w:tcBorders>
              <w:top w:val="nil"/>
              <w:left w:val="nil"/>
              <w:bottom w:val="nil"/>
              <w:right w:val="nil"/>
            </w:tcBorders>
            <w:shd w:val="clear" w:color="C0E6F5" w:fill="C0E6F5"/>
            <w:noWrap/>
            <w:vAlign w:val="bottom"/>
            <w:hideMark/>
          </w:tcPr>
          <w:p w14:paraId="47F4444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119.939</w:t>
            </w:r>
          </w:p>
        </w:tc>
        <w:tc>
          <w:tcPr>
            <w:tcW w:w="1300" w:type="dxa"/>
            <w:tcBorders>
              <w:top w:val="nil"/>
              <w:left w:val="nil"/>
              <w:bottom w:val="nil"/>
              <w:right w:val="nil"/>
            </w:tcBorders>
            <w:shd w:val="clear" w:color="C0E6F5" w:fill="C0E6F5"/>
            <w:noWrap/>
            <w:vAlign w:val="bottom"/>
            <w:hideMark/>
          </w:tcPr>
          <w:p w14:paraId="00EB6BE7"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103.959</w:t>
            </w:r>
          </w:p>
        </w:tc>
        <w:tc>
          <w:tcPr>
            <w:tcW w:w="1300" w:type="dxa"/>
            <w:tcBorders>
              <w:top w:val="nil"/>
              <w:left w:val="nil"/>
              <w:bottom w:val="nil"/>
              <w:right w:val="nil"/>
            </w:tcBorders>
            <w:shd w:val="clear" w:color="C0E6F5" w:fill="C0E6F5"/>
            <w:noWrap/>
            <w:vAlign w:val="bottom"/>
            <w:hideMark/>
          </w:tcPr>
          <w:p w14:paraId="62971AD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123.283</w:t>
            </w:r>
          </w:p>
        </w:tc>
      </w:tr>
      <w:tr w:rsidR="001D790F" w:rsidRPr="001D790F" w14:paraId="34F6BDCD" w14:textId="77777777" w:rsidTr="001D790F">
        <w:trPr>
          <w:trHeight w:val="285"/>
        </w:trPr>
        <w:tc>
          <w:tcPr>
            <w:tcW w:w="1080" w:type="dxa"/>
            <w:tcBorders>
              <w:top w:val="nil"/>
              <w:left w:val="nil"/>
              <w:bottom w:val="nil"/>
              <w:right w:val="nil"/>
            </w:tcBorders>
            <w:shd w:val="clear" w:color="auto" w:fill="auto"/>
            <w:noWrap/>
            <w:vAlign w:val="bottom"/>
            <w:hideMark/>
          </w:tcPr>
          <w:p w14:paraId="6268082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2018</w:t>
            </w:r>
          </w:p>
        </w:tc>
        <w:tc>
          <w:tcPr>
            <w:tcW w:w="1880" w:type="dxa"/>
            <w:tcBorders>
              <w:top w:val="nil"/>
              <w:left w:val="nil"/>
              <w:bottom w:val="nil"/>
              <w:right w:val="nil"/>
            </w:tcBorders>
            <w:shd w:val="clear" w:color="auto" w:fill="auto"/>
            <w:noWrap/>
            <w:vAlign w:val="bottom"/>
            <w:hideMark/>
          </w:tcPr>
          <w:p w14:paraId="4C0CA76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114.036</w:t>
            </w:r>
          </w:p>
        </w:tc>
        <w:tc>
          <w:tcPr>
            <w:tcW w:w="1300" w:type="dxa"/>
            <w:tcBorders>
              <w:top w:val="nil"/>
              <w:left w:val="nil"/>
              <w:bottom w:val="nil"/>
              <w:right w:val="nil"/>
            </w:tcBorders>
            <w:shd w:val="clear" w:color="auto" w:fill="auto"/>
            <w:noWrap/>
            <w:vAlign w:val="bottom"/>
            <w:hideMark/>
          </w:tcPr>
          <w:p w14:paraId="1C7E7328"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107.626</w:t>
            </w:r>
          </w:p>
        </w:tc>
        <w:tc>
          <w:tcPr>
            <w:tcW w:w="1300" w:type="dxa"/>
            <w:tcBorders>
              <w:top w:val="nil"/>
              <w:left w:val="nil"/>
              <w:bottom w:val="nil"/>
              <w:right w:val="nil"/>
            </w:tcBorders>
            <w:shd w:val="clear" w:color="auto" w:fill="auto"/>
            <w:noWrap/>
            <w:vAlign w:val="bottom"/>
            <w:hideMark/>
          </w:tcPr>
          <w:p w14:paraId="3A14987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120.446</w:t>
            </w:r>
          </w:p>
        </w:tc>
        <w:tc>
          <w:tcPr>
            <w:tcW w:w="1300" w:type="dxa"/>
            <w:tcBorders>
              <w:top w:val="nil"/>
              <w:left w:val="nil"/>
              <w:bottom w:val="nil"/>
              <w:right w:val="nil"/>
            </w:tcBorders>
            <w:shd w:val="clear" w:color="auto" w:fill="auto"/>
            <w:noWrap/>
            <w:vAlign w:val="bottom"/>
            <w:hideMark/>
          </w:tcPr>
          <w:p w14:paraId="432A5D1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104.232</w:t>
            </w:r>
          </w:p>
        </w:tc>
        <w:tc>
          <w:tcPr>
            <w:tcW w:w="1300" w:type="dxa"/>
            <w:tcBorders>
              <w:top w:val="nil"/>
              <w:left w:val="nil"/>
              <w:bottom w:val="nil"/>
              <w:right w:val="nil"/>
            </w:tcBorders>
            <w:shd w:val="clear" w:color="auto" w:fill="auto"/>
            <w:noWrap/>
            <w:vAlign w:val="bottom"/>
            <w:hideMark/>
          </w:tcPr>
          <w:p w14:paraId="4B41C38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123.840</w:t>
            </w:r>
          </w:p>
        </w:tc>
      </w:tr>
      <w:tr w:rsidR="001D790F" w:rsidRPr="001D790F" w14:paraId="429587F9" w14:textId="77777777" w:rsidTr="001D790F">
        <w:trPr>
          <w:trHeight w:val="285"/>
        </w:trPr>
        <w:tc>
          <w:tcPr>
            <w:tcW w:w="1080" w:type="dxa"/>
            <w:tcBorders>
              <w:top w:val="nil"/>
              <w:left w:val="nil"/>
              <w:bottom w:val="nil"/>
              <w:right w:val="nil"/>
            </w:tcBorders>
            <w:shd w:val="clear" w:color="C0E6F5" w:fill="C0E6F5"/>
            <w:noWrap/>
            <w:vAlign w:val="bottom"/>
            <w:hideMark/>
          </w:tcPr>
          <w:p w14:paraId="78DC3E4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2018.083</w:t>
            </w:r>
          </w:p>
        </w:tc>
        <w:tc>
          <w:tcPr>
            <w:tcW w:w="1880" w:type="dxa"/>
            <w:tcBorders>
              <w:top w:val="nil"/>
              <w:left w:val="nil"/>
              <w:bottom w:val="nil"/>
              <w:right w:val="nil"/>
            </w:tcBorders>
            <w:shd w:val="clear" w:color="C0E6F5" w:fill="C0E6F5"/>
            <w:noWrap/>
            <w:vAlign w:val="bottom"/>
            <w:hideMark/>
          </w:tcPr>
          <w:p w14:paraId="344F389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114.537</w:t>
            </w:r>
          </w:p>
        </w:tc>
        <w:tc>
          <w:tcPr>
            <w:tcW w:w="1300" w:type="dxa"/>
            <w:tcBorders>
              <w:top w:val="nil"/>
              <w:left w:val="nil"/>
              <w:bottom w:val="nil"/>
              <w:right w:val="nil"/>
            </w:tcBorders>
            <w:shd w:val="clear" w:color="C0E6F5" w:fill="C0E6F5"/>
            <w:noWrap/>
            <w:vAlign w:val="bottom"/>
            <w:hideMark/>
          </w:tcPr>
          <w:p w14:paraId="5E39BA7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108.047</w:t>
            </w:r>
          </w:p>
        </w:tc>
        <w:tc>
          <w:tcPr>
            <w:tcW w:w="1300" w:type="dxa"/>
            <w:tcBorders>
              <w:top w:val="nil"/>
              <w:left w:val="nil"/>
              <w:bottom w:val="nil"/>
              <w:right w:val="nil"/>
            </w:tcBorders>
            <w:shd w:val="clear" w:color="C0E6F5" w:fill="C0E6F5"/>
            <w:noWrap/>
            <w:vAlign w:val="bottom"/>
            <w:hideMark/>
          </w:tcPr>
          <w:p w14:paraId="67B32C0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121.027</w:t>
            </w:r>
          </w:p>
        </w:tc>
        <w:tc>
          <w:tcPr>
            <w:tcW w:w="1300" w:type="dxa"/>
            <w:tcBorders>
              <w:top w:val="nil"/>
              <w:left w:val="nil"/>
              <w:bottom w:val="nil"/>
              <w:right w:val="nil"/>
            </w:tcBorders>
            <w:shd w:val="clear" w:color="C0E6F5" w:fill="C0E6F5"/>
            <w:noWrap/>
            <w:vAlign w:val="bottom"/>
            <w:hideMark/>
          </w:tcPr>
          <w:p w14:paraId="5FAC658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104.611</w:t>
            </w:r>
          </w:p>
        </w:tc>
        <w:tc>
          <w:tcPr>
            <w:tcW w:w="1300" w:type="dxa"/>
            <w:tcBorders>
              <w:top w:val="nil"/>
              <w:left w:val="nil"/>
              <w:bottom w:val="nil"/>
              <w:right w:val="nil"/>
            </w:tcBorders>
            <w:shd w:val="clear" w:color="C0E6F5" w:fill="C0E6F5"/>
            <w:noWrap/>
            <w:vAlign w:val="bottom"/>
            <w:hideMark/>
          </w:tcPr>
          <w:p w14:paraId="73C0B2BA"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124.463</w:t>
            </w:r>
          </w:p>
        </w:tc>
      </w:tr>
      <w:tr w:rsidR="001D790F" w:rsidRPr="001D790F" w14:paraId="6A23A12A" w14:textId="77777777" w:rsidTr="001D790F">
        <w:trPr>
          <w:trHeight w:val="285"/>
        </w:trPr>
        <w:tc>
          <w:tcPr>
            <w:tcW w:w="1080" w:type="dxa"/>
            <w:tcBorders>
              <w:top w:val="nil"/>
              <w:left w:val="nil"/>
              <w:bottom w:val="nil"/>
              <w:right w:val="nil"/>
            </w:tcBorders>
            <w:shd w:val="clear" w:color="auto" w:fill="auto"/>
            <w:noWrap/>
            <w:vAlign w:val="bottom"/>
            <w:hideMark/>
          </w:tcPr>
          <w:p w14:paraId="7D8E45C7"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2018.167</w:t>
            </w:r>
          </w:p>
        </w:tc>
        <w:tc>
          <w:tcPr>
            <w:tcW w:w="1880" w:type="dxa"/>
            <w:tcBorders>
              <w:top w:val="nil"/>
              <w:left w:val="nil"/>
              <w:bottom w:val="nil"/>
              <w:right w:val="nil"/>
            </w:tcBorders>
            <w:shd w:val="clear" w:color="auto" w:fill="auto"/>
            <w:noWrap/>
            <w:vAlign w:val="bottom"/>
            <w:hideMark/>
          </w:tcPr>
          <w:p w14:paraId="5617D9D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115.296</w:t>
            </w:r>
          </w:p>
        </w:tc>
        <w:tc>
          <w:tcPr>
            <w:tcW w:w="1300" w:type="dxa"/>
            <w:tcBorders>
              <w:top w:val="nil"/>
              <w:left w:val="nil"/>
              <w:bottom w:val="nil"/>
              <w:right w:val="nil"/>
            </w:tcBorders>
            <w:shd w:val="clear" w:color="auto" w:fill="auto"/>
            <w:noWrap/>
            <w:vAlign w:val="bottom"/>
            <w:hideMark/>
          </w:tcPr>
          <w:p w14:paraId="6C0C81A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108.738</w:t>
            </w:r>
          </w:p>
        </w:tc>
        <w:tc>
          <w:tcPr>
            <w:tcW w:w="1300" w:type="dxa"/>
            <w:tcBorders>
              <w:top w:val="nil"/>
              <w:left w:val="nil"/>
              <w:bottom w:val="nil"/>
              <w:right w:val="nil"/>
            </w:tcBorders>
            <w:shd w:val="clear" w:color="auto" w:fill="auto"/>
            <w:noWrap/>
            <w:vAlign w:val="bottom"/>
            <w:hideMark/>
          </w:tcPr>
          <w:p w14:paraId="36D6526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121.854</w:t>
            </w:r>
          </w:p>
        </w:tc>
        <w:tc>
          <w:tcPr>
            <w:tcW w:w="1300" w:type="dxa"/>
            <w:tcBorders>
              <w:top w:val="nil"/>
              <w:left w:val="nil"/>
              <w:bottom w:val="nil"/>
              <w:right w:val="nil"/>
            </w:tcBorders>
            <w:shd w:val="clear" w:color="auto" w:fill="auto"/>
            <w:noWrap/>
            <w:vAlign w:val="bottom"/>
            <w:hideMark/>
          </w:tcPr>
          <w:p w14:paraId="57254ED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105.266</w:t>
            </w:r>
          </w:p>
        </w:tc>
        <w:tc>
          <w:tcPr>
            <w:tcW w:w="1300" w:type="dxa"/>
            <w:tcBorders>
              <w:top w:val="nil"/>
              <w:left w:val="nil"/>
              <w:bottom w:val="nil"/>
              <w:right w:val="nil"/>
            </w:tcBorders>
            <w:shd w:val="clear" w:color="auto" w:fill="auto"/>
            <w:noWrap/>
            <w:vAlign w:val="bottom"/>
            <w:hideMark/>
          </w:tcPr>
          <w:p w14:paraId="4D4EFBE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125.326</w:t>
            </w:r>
          </w:p>
        </w:tc>
      </w:tr>
      <w:tr w:rsidR="001D790F" w:rsidRPr="001D790F" w14:paraId="208205B4" w14:textId="77777777" w:rsidTr="001D790F">
        <w:trPr>
          <w:trHeight w:val="285"/>
        </w:trPr>
        <w:tc>
          <w:tcPr>
            <w:tcW w:w="1080" w:type="dxa"/>
            <w:tcBorders>
              <w:top w:val="nil"/>
              <w:left w:val="nil"/>
              <w:bottom w:val="nil"/>
              <w:right w:val="nil"/>
            </w:tcBorders>
            <w:shd w:val="clear" w:color="C0E6F5" w:fill="C0E6F5"/>
            <w:noWrap/>
            <w:vAlign w:val="bottom"/>
            <w:hideMark/>
          </w:tcPr>
          <w:p w14:paraId="73EAC1F0"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lastRenderedPageBreak/>
              <w:t>2018.25</w:t>
            </w:r>
          </w:p>
        </w:tc>
        <w:tc>
          <w:tcPr>
            <w:tcW w:w="1880" w:type="dxa"/>
            <w:tcBorders>
              <w:top w:val="nil"/>
              <w:left w:val="nil"/>
              <w:bottom w:val="nil"/>
              <w:right w:val="nil"/>
            </w:tcBorders>
            <w:shd w:val="clear" w:color="C0E6F5" w:fill="C0E6F5"/>
            <w:noWrap/>
            <w:vAlign w:val="bottom"/>
            <w:hideMark/>
          </w:tcPr>
          <w:p w14:paraId="101F13CB"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116.031</w:t>
            </w:r>
          </w:p>
        </w:tc>
        <w:tc>
          <w:tcPr>
            <w:tcW w:w="1300" w:type="dxa"/>
            <w:tcBorders>
              <w:top w:val="nil"/>
              <w:left w:val="nil"/>
              <w:bottom w:val="nil"/>
              <w:right w:val="nil"/>
            </w:tcBorders>
            <w:shd w:val="clear" w:color="C0E6F5" w:fill="C0E6F5"/>
            <w:noWrap/>
            <w:vAlign w:val="bottom"/>
            <w:hideMark/>
          </w:tcPr>
          <w:p w14:paraId="1347131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109.414</w:t>
            </w:r>
          </w:p>
        </w:tc>
        <w:tc>
          <w:tcPr>
            <w:tcW w:w="1300" w:type="dxa"/>
            <w:tcBorders>
              <w:top w:val="nil"/>
              <w:left w:val="nil"/>
              <w:bottom w:val="nil"/>
              <w:right w:val="nil"/>
            </w:tcBorders>
            <w:shd w:val="clear" w:color="C0E6F5" w:fill="C0E6F5"/>
            <w:noWrap/>
            <w:vAlign w:val="bottom"/>
            <w:hideMark/>
          </w:tcPr>
          <w:p w14:paraId="28B4F42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122.647</w:t>
            </w:r>
          </w:p>
        </w:tc>
        <w:tc>
          <w:tcPr>
            <w:tcW w:w="1300" w:type="dxa"/>
            <w:tcBorders>
              <w:top w:val="nil"/>
              <w:left w:val="nil"/>
              <w:bottom w:val="nil"/>
              <w:right w:val="nil"/>
            </w:tcBorders>
            <w:shd w:val="clear" w:color="C0E6F5" w:fill="C0E6F5"/>
            <w:noWrap/>
            <w:vAlign w:val="bottom"/>
            <w:hideMark/>
          </w:tcPr>
          <w:p w14:paraId="4106A9D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105.912</w:t>
            </w:r>
          </w:p>
        </w:tc>
        <w:tc>
          <w:tcPr>
            <w:tcW w:w="1300" w:type="dxa"/>
            <w:tcBorders>
              <w:top w:val="nil"/>
              <w:left w:val="nil"/>
              <w:bottom w:val="nil"/>
              <w:right w:val="nil"/>
            </w:tcBorders>
            <w:shd w:val="clear" w:color="C0E6F5" w:fill="C0E6F5"/>
            <w:noWrap/>
            <w:vAlign w:val="bottom"/>
            <w:hideMark/>
          </w:tcPr>
          <w:p w14:paraId="37ADC597"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126.150</w:t>
            </w:r>
          </w:p>
        </w:tc>
      </w:tr>
      <w:tr w:rsidR="001D790F" w:rsidRPr="001D790F" w14:paraId="0C51073D" w14:textId="77777777" w:rsidTr="001D790F">
        <w:trPr>
          <w:trHeight w:val="285"/>
        </w:trPr>
        <w:tc>
          <w:tcPr>
            <w:tcW w:w="1080" w:type="dxa"/>
            <w:tcBorders>
              <w:top w:val="nil"/>
              <w:left w:val="nil"/>
              <w:bottom w:val="nil"/>
              <w:right w:val="nil"/>
            </w:tcBorders>
            <w:shd w:val="clear" w:color="auto" w:fill="auto"/>
            <w:noWrap/>
            <w:vAlign w:val="bottom"/>
            <w:hideMark/>
          </w:tcPr>
          <w:p w14:paraId="372187A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2018.333</w:t>
            </w:r>
          </w:p>
        </w:tc>
        <w:tc>
          <w:tcPr>
            <w:tcW w:w="1880" w:type="dxa"/>
            <w:tcBorders>
              <w:top w:val="nil"/>
              <w:left w:val="nil"/>
              <w:bottom w:val="nil"/>
              <w:right w:val="nil"/>
            </w:tcBorders>
            <w:shd w:val="clear" w:color="auto" w:fill="auto"/>
            <w:noWrap/>
            <w:vAlign w:val="bottom"/>
            <w:hideMark/>
          </w:tcPr>
          <w:p w14:paraId="1C5F0E62"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117.156</w:t>
            </w:r>
          </w:p>
        </w:tc>
        <w:tc>
          <w:tcPr>
            <w:tcW w:w="1300" w:type="dxa"/>
            <w:tcBorders>
              <w:top w:val="nil"/>
              <w:left w:val="nil"/>
              <w:bottom w:val="nil"/>
              <w:right w:val="nil"/>
            </w:tcBorders>
            <w:shd w:val="clear" w:color="auto" w:fill="auto"/>
            <w:noWrap/>
            <w:vAlign w:val="bottom"/>
            <w:hideMark/>
          </w:tcPr>
          <w:p w14:paraId="05B775DC"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110.490</w:t>
            </w:r>
          </w:p>
        </w:tc>
        <w:tc>
          <w:tcPr>
            <w:tcW w:w="1300" w:type="dxa"/>
            <w:tcBorders>
              <w:top w:val="nil"/>
              <w:left w:val="nil"/>
              <w:bottom w:val="nil"/>
              <w:right w:val="nil"/>
            </w:tcBorders>
            <w:shd w:val="clear" w:color="auto" w:fill="auto"/>
            <w:noWrap/>
            <w:vAlign w:val="bottom"/>
            <w:hideMark/>
          </w:tcPr>
          <w:p w14:paraId="6A312B7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123.822</w:t>
            </w:r>
          </w:p>
        </w:tc>
        <w:tc>
          <w:tcPr>
            <w:tcW w:w="1300" w:type="dxa"/>
            <w:tcBorders>
              <w:top w:val="nil"/>
              <w:left w:val="nil"/>
              <w:bottom w:val="nil"/>
              <w:right w:val="nil"/>
            </w:tcBorders>
            <w:shd w:val="clear" w:color="auto" w:fill="auto"/>
            <w:noWrap/>
            <w:vAlign w:val="bottom"/>
            <w:hideMark/>
          </w:tcPr>
          <w:p w14:paraId="7B5E984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106.961</w:t>
            </w:r>
          </w:p>
        </w:tc>
        <w:tc>
          <w:tcPr>
            <w:tcW w:w="1300" w:type="dxa"/>
            <w:tcBorders>
              <w:top w:val="nil"/>
              <w:left w:val="nil"/>
              <w:bottom w:val="nil"/>
              <w:right w:val="nil"/>
            </w:tcBorders>
            <w:shd w:val="clear" w:color="auto" w:fill="auto"/>
            <w:noWrap/>
            <w:vAlign w:val="bottom"/>
            <w:hideMark/>
          </w:tcPr>
          <w:p w14:paraId="7704C045"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127.351</w:t>
            </w:r>
          </w:p>
        </w:tc>
      </w:tr>
      <w:tr w:rsidR="001D790F" w:rsidRPr="001D790F" w14:paraId="4E3F93AD" w14:textId="77777777" w:rsidTr="001D790F">
        <w:trPr>
          <w:trHeight w:val="285"/>
        </w:trPr>
        <w:tc>
          <w:tcPr>
            <w:tcW w:w="1080" w:type="dxa"/>
            <w:tcBorders>
              <w:top w:val="nil"/>
              <w:left w:val="nil"/>
              <w:bottom w:val="nil"/>
              <w:right w:val="nil"/>
            </w:tcBorders>
            <w:shd w:val="clear" w:color="C0E6F5" w:fill="C0E6F5"/>
            <w:noWrap/>
            <w:vAlign w:val="bottom"/>
            <w:hideMark/>
          </w:tcPr>
          <w:p w14:paraId="1B8F5F7E"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2018.417</w:t>
            </w:r>
          </w:p>
        </w:tc>
        <w:tc>
          <w:tcPr>
            <w:tcW w:w="1880" w:type="dxa"/>
            <w:tcBorders>
              <w:top w:val="nil"/>
              <w:left w:val="nil"/>
              <w:bottom w:val="nil"/>
              <w:right w:val="nil"/>
            </w:tcBorders>
            <w:shd w:val="clear" w:color="C0E6F5" w:fill="C0E6F5"/>
            <w:noWrap/>
            <w:vAlign w:val="bottom"/>
            <w:hideMark/>
          </w:tcPr>
          <w:p w14:paraId="664F1E5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118.191</w:t>
            </w:r>
          </w:p>
        </w:tc>
        <w:tc>
          <w:tcPr>
            <w:tcW w:w="1300" w:type="dxa"/>
            <w:tcBorders>
              <w:top w:val="nil"/>
              <w:left w:val="nil"/>
              <w:bottom w:val="nil"/>
              <w:right w:val="nil"/>
            </w:tcBorders>
            <w:shd w:val="clear" w:color="C0E6F5" w:fill="C0E6F5"/>
            <w:noWrap/>
            <w:vAlign w:val="bottom"/>
            <w:hideMark/>
          </w:tcPr>
          <w:p w14:paraId="044AF67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111.482</w:t>
            </w:r>
          </w:p>
        </w:tc>
        <w:tc>
          <w:tcPr>
            <w:tcW w:w="1300" w:type="dxa"/>
            <w:tcBorders>
              <w:top w:val="nil"/>
              <w:left w:val="nil"/>
              <w:bottom w:val="nil"/>
              <w:right w:val="nil"/>
            </w:tcBorders>
            <w:shd w:val="clear" w:color="C0E6F5" w:fill="C0E6F5"/>
            <w:noWrap/>
            <w:vAlign w:val="bottom"/>
            <w:hideMark/>
          </w:tcPr>
          <w:p w14:paraId="4ADD5844"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124.899</w:t>
            </w:r>
          </w:p>
        </w:tc>
        <w:tc>
          <w:tcPr>
            <w:tcW w:w="1300" w:type="dxa"/>
            <w:tcBorders>
              <w:top w:val="nil"/>
              <w:left w:val="nil"/>
              <w:bottom w:val="nil"/>
              <w:right w:val="nil"/>
            </w:tcBorders>
            <w:shd w:val="clear" w:color="C0E6F5" w:fill="C0E6F5"/>
            <w:noWrap/>
            <w:vAlign w:val="bottom"/>
            <w:hideMark/>
          </w:tcPr>
          <w:p w14:paraId="28901547"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107.931</w:t>
            </w:r>
          </w:p>
        </w:tc>
        <w:tc>
          <w:tcPr>
            <w:tcW w:w="1300" w:type="dxa"/>
            <w:tcBorders>
              <w:top w:val="nil"/>
              <w:left w:val="nil"/>
              <w:bottom w:val="nil"/>
              <w:right w:val="nil"/>
            </w:tcBorders>
            <w:shd w:val="clear" w:color="C0E6F5" w:fill="C0E6F5"/>
            <w:noWrap/>
            <w:vAlign w:val="bottom"/>
            <w:hideMark/>
          </w:tcPr>
          <w:p w14:paraId="3A8CFFD6"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128.450</w:t>
            </w:r>
          </w:p>
        </w:tc>
      </w:tr>
      <w:tr w:rsidR="001D790F" w:rsidRPr="001D790F" w14:paraId="007480A5" w14:textId="77777777" w:rsidTr="001D790F">
        <w:trPr>
          <w:trHeight w:val="285"/>
        </w:trPr>
        <w:tc>
          <w:tcPr>
            <w:tcW w:w="1080" w:type="dxa"/>
            <w:tcBorders>
              <w:top w:val="nil"/>
              <w:left w:val="nil"/>
              <w:bottom w:val="single" w:sz="4" w:space="0" w:color="156082"/>
              <w:right w:val="nil"/>
            </w:tcBorders>
            <w:shd w:val="clear" w:color="auto" w:fill="auto"/>
            <w:noWrap/>
            <w:vAlign w:val="bottom"/>
            <w:hideMark/>
          </w:tcPr>
          <w:p w14:paraId="78113301"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2018.5</w:t>
            </w:r>
          </w:p>
        </w:tc>
        <w:tc>
          <w:tcPr>
            <w:tcW w:w="1880" w:type="dxa"/>
            <w:tcBorders>
              <w:top w:val="nil"/>
              <w:left w:val="nil"/>
              <w:bottom w:val="single" w:sz="4" w:space="0" w:color="156082"/>
              <w:right w:val="nil"/>
            </w:tcBorders>
            <w:shd w:val="clear" w:color="auto" w:fill="auto"/>
            <w:noWrap/>
            <w:vAlign w:val="bottom"/>
            <w:hideMark/>
          </w:tcPr>
          <w:p w14:paraId="46DEA16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118.931</w:t>
            </w:r>
          </w:p>
        </w:tc>
        <w:tc>
          <w:tcPr>
            <w:tcW w:w="1300" w:type="dxa"/>
            <w:tcBorders>
              <w:top w:val="nil"/>
              <w:left w:val="nil"/>
              <w:bottom w:val="single" w:sz="4" w:space="0" w:color="156082"/>
              <w:right w:val="nil"/>
            </w:tcBorders>
            <w:shd w:val="clear" w:color="auto" w:fill="auto"/>
            <w:noWrap/>
            <w:vAlign w:val="bottom"/>
            <w:hideMark/>
          </w:tcPr>
          <w:p w14:paraId="65E3BA5F"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112.187</w:t>
            </w:r>
          </w:p>
        </w:tc>
        <w:tc>
          <w:tcPr>
            <w:tcW w:w="1300" w:type="dxa"/>
            <w:tcBorders>
              <w:top w:val="nil"/>
              <w:left w:val="nil"/>
              <w:bottom w:val="single" w:sz="4" w:space="0" w:color="156082"/>
              <w:right w:val="nil"/>
            </w:tcBorders>
            <w:shd w:val="clear" w:color="auto" w:fill="auto"/>
            <w:noWrap/>
            <w:vAlign w:val="bottom"/>
            <w:hideMark/>
          </w:tcPr>
          <w:p w14:paraId="6C71BE4D"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125.675</w:t>
            </w:r>
          </w:p>
        </w:tc>
        <w:tc>
          <w:tcPr>
            <w:tcW w:w="1300" w:type="dxa"/>
            <w:tcBorders>
              <w:top w:val="nil"/>
              <w:left w:val="nil"/>
              <w:bottom w:val="single" w:sz="4" w:space="0" w:color="156082"/>
              <w:right w:val="nil"/>
            </w:tcBorders>
            <w:shd w:val="clear" w:color="auto" w:fill="auto"/>
            <w:noWrap/>
            <w:vAlign w:val="bottom"/>
            <w:hideMark/>
          </w:tcPr>
          <w:p w14:paraId="629E9079"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108.616</w:t>
            </w:r>
          </w:p>
        </w:tc>
        <w:tc>
          <w:tcPr>
            <w:tcW w:w="1300" w:type="dxa"/>
            <w:tcBorders>
              <w:top w:val="nil"/>
              <w:left w:val="nil"/>
              <w:bottom w:val="single" w:sz="4" w:space="0" w:color="156082"/>
              <w:right w:val="nil"/>
            </w:tcBorders>
            <w:shd w:val="clear" w:color="auto" w:fill="auto"/>
            <w:noWrap/>
            <w:vAlign w:val="bottom"/>
            <w:hideMark/>
          </w:tcPr>
          <w:p w14:paraId="78195F93" w14:textId="77777777" w:rsidR="001D790F" w:rsidRPr="001D790F" w:rsidRDefault="001D790F" w:rsidP="001D790F">
            <w:pPr>
              <w:spacing w:after="0" w:line="240" w:lineRule="auto"/>
              <w:jc w:val="right"/>
              <w:rPr>
                <w:rFonts w:ascii="Aptos Narrow" w:eastAsia="Times New Roman" w:hAnsi="Aptos Narrow" w:cs="Times New Roman"/>
                <w:color w:val="104861"/>
                <w:kern w:val="0"/>
                <w:sz w:val="22"/>
                <w:szCs w:val="22"/>
                <w14:ligatures w14:val="none"/>
              </w:rPr>
            </w:pPr>
            <w:r w:rsidRPr="001D790F">
              <w:rPr>
                <w:rFonts w:ascii="Aptos Narrow" w:eastAsia="Times New Roman" w:hAnsi="Aptos Narrow" w:cs="Times New Roman"/>
                <w:color w:val="104861"/>
                <w:kern w:val="0"/>
                <w:sz w:val="22"/>
                <w:szCs w:val="22"/>
                <w14:ligatures w14:val="none"/>
              </w:rPr>
              <w:t>129.246</w:t>
            </w:r>
          </w:p>
        </w:tc>
      </w:tr>
    </w:tbl>
    <w:p w14:paraId="4EC482A3" w14:textId="681DD2FB" w:rsidR="000E2348" w:rsidRPr="00704A8A" w:rsidRDefault="000E2348" w:rsidP="00704A8A"/>
    <w:sectPr w:rsidR="000E2348" w:rsidRPr="00704A8A" w:rsidSect="00797F5E">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2E5DA" w14:textId="77777777" w:rsidR="00045786" w:rsidRDefault="00045786" w:rsidP="00770B2E">
      <w:pPr>
        <w:spacing w:after="0" w:line="240" w:lineRule="auto"/>
      </w:pPr>
      <w:r>
        <w:separator/>
      </w:r>
    </w:p>
  </w:endnote>
  <w:endnote w:type="continuationSeparator" w:id="0">
    <w:p w14:paraId="0C1C6E61" w14:textId="77777777" w:rsidR="00045786" w:rsidRDefault="00045786" w:rsidP="00770B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Aptos Narrow">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29DCB" w14:textId="77777777" w:rsidR="0015561B" w:rsidRDefault="001556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7747965"/>
      <w:docPartObj>
        <w:docPartGallery w:val="Page Numbers (Bottom of Page)"/>
        <w:docPartUnique/>
      </w:docPartObj>
    </w:sdtPr>
    <w:sdtEndPr>
      <w:rPr>
        <w:noProof/>
      </w:rPr>
    </w:sdtEndPr>
    <w:sdtContent>
      <w:p w14:paraId="11603817" w14:textId="4A8070A8" w:rsidR="00797F5E" w:rsidRDefault="00797F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40FD8F" w14:textId="25A995E4" w:rsidR="005B4B17" w:rsidRDefault="005B4B17" w:rsidP="00797F5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5389" w14:textId="77777777" w:rsidR="0015561B" w:rsidRDefault="00155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EDB5F" w14:textId="77777777" w:rsidR="00045786" w:rsidRDefault="00045786" w:rsidP="00770B2E">
      <w:pPr>
        <w:spacing w:after="0" w:line="240" w:lineRule="auto"/>
      </w:pPr>
      <w:r>
        <w:separator/>
      </w:r>
    </w:p>
  </w:footnote>
  <w:footnote w:type="continuationSeparator" w:id="0">
    <w:p w14:paraId="3871746F" w14:textId="77777777" w:rsidR="00045786" w:rsidRDefault="00045786" w:rsidP="00770B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B1D5B" w14:textId="77777777" w:rsidR="0015561B" w:rsidRDefault="001556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8795F" w14:textId="60473034" w:rsidR="00770B2E" w:rsidRDefault="0015561B">
    <w:pPr>
      <w:pStyle w:val="Header"/>
    </w:pPr>
    <w:r>
      <w:t>Monica Yesildirek</w:t>
    </w:r>
    <w:r w:rsidR="00770B2E">
      <w:tab/>
    </w:r>
    <w:r w:rsidR="00770B2E">
      <w:tab/>
    </w:r>
    <w:r w:rsidR="00797F5E">
      <w:t xml:space="preserve">Final – </w:t>
    </w:r>
    <w:r w:rsidR="00FD1D6A">
      <w:t>Math 546 (Summer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CAE155" w14:textId="77777777" w:rsidR="0015561B" w:rsidRDefault="0015561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469"/>
    <w:rsid w:val="00000809"/>
    <w:rsid w:val="00030F3F"/>
    <w:rsid w:val="000339CC"/>
    <w:rsid w:val="00045786"/>
    <w:rsid w:val="00050C26"/>
    <w:rsid w:val="000656D3"/>
    <w:rsid w:val="00097A7A"/>
    <w:rsid w:val="000C308F"/>
    <w:rsid w:val="000D30C9"/>
    <w:rsid w:val="000E2348"/>
    <w:rsid w:val="00115748"/>
    <w:rsid w:val="0015561B"/>
    <w:rsid w:val="00182CB7"/>
    <w:rsid w:val="001D64A0"/>
    <w:rsid w:val="001D790F"/>
    <w:rsid w:val="001F281E"/>
    <w:rsid w:val="001F4CA8"/>
    <w:rsid w:val="00220FC2"/>
    <w:rsid w:val="002B63DD"/>
    <w:rsid w:val="00306A2E"/>
    <w:rsid w:val="00314627"/>
    <w:rsid w:val="00321859"/>
    <w:rsid w:val="00343367"/>
    <w:rsid w:val="0037482D"/>
    <w:rsid w:val="003808F7"/>
    <w:rsid w:val="003809F5"/>
    <w:rsid w:val="00391A2F"/>
    <w:rsid w:val="003B48C9"/>
    <w:rsid w:val="003C277B"/>
    <w:rsid w:val="003C600D"/>
    <w:rsid w:val="003F0888"/>
    <w:rsid w:val="004A6141"/>
    <w:rsid w:val="004B6ABB"/>
    <w:rsid w:val="004B7978"/>
    <w:rsid w:val="005A43A1"/>
    <w:rsid w:val="005B41CA"/>
    <w:rsid w:val="005B4B17"/>
    <w:rsid w:val="005B5EE8"/>
    <w:rsid w:val="005D08BA"/>
    <w:rsid w:val="005D632A"/>
    <w:rsid w:val="006045E6"/>
    <w:rsid w:val="0060472A"/>
    <w:rsid w:val="00615846"/>
    <w:rsid w:val="00623EE2"/>
    <w:rsid w:val="00687F99"/>
    <w:rsid w:val="006A54D9"/>
    <w:rsid w:val="006D728D"/>
    <w:rsid w:val="00704A8A"/>
    <w:rsid w:val="0071130F"/>
    <w:rsid w:val="00717469"/>
    <w:rsid w:val="00731B68"/>
    <w:rsid w:val="007371C6"/>
    <w:rsid w:val="00740196"/>
    <w:rsid w:val="00743FE8"/>
    <w:rsid w:val="00756355"/>
    <w:rsid w:val="00767D50"/>
    <w:rsid w:val="00770B2E"/>
    <w:rsid w:val="00776D15"/>
    <w:rsid w:val="00797BB9"/>
    <w:rsid w:val="00797F5E"/>
    <w:rsid w:val="00891B39"/>
    <w:rsid w:val="008B3E34"/>
    <w:rsid w:val="008D3FB0"/>
    <w:rsid w:val="008E5D12"/>
    <w:rsid w:val="00910646"/>
    <w:rsid w:val="00912DFE"/>
    <w:rsid w:val="00926675"/>
    <w:rsid w:val="009A08D1"/>
    <w:rsid w:val="009A71AA"/>
    <w:rsid w:val="009B4AD4"/>
    <w:rsid w:val="00A21669"/>
    <w:rsid w:val="00A53A04"/>
    <w:rsid w:val="00AC49E7"/>
    <w:rsid w:val="00AD4B37"/>
    <w:rsid w:val="00AF6F4D"/>
    <w:rsid w:val="00B57569"/>
    <w:rsid w:val="00C074E8"/>
    <w:rsid w:val="00C63E1F"/>
    <w:rsid w:val="00C805A2"/>
    <w:rsid w:val="00CB2993"/>
    <w:rsid w:val="00CC64F0"/>
    <w:rsid w:val="00CF24F6"/>
    <w:rsid w:val="00CF4D45"/>
    <w:rsid w:val="00D05077"/>
    <w:rsid w:val="00D235EC"/>
    <w:rsid w:val="00D33E7D"/>
    <w:rsid w:val="00D64C03"/>
    <w:rsid w:val="00D65194"/>
    <w:rsid w:val="00DD1442"/>
    <w:rsid w:val="00DE1A7E"/>
    <w:rsid w:val="00E14F0A"/>
    <w:rsid w:val="00E47273"/>
    <w:rsid w:val="00E654F9"/>
    <w:rsid w:val="00E74528"/>
    <w:rsid w:val="00E748BC"/>
    <w:rsid w:val="00E80550"/>
    <w:rsid w:val="00E822B8"/>
    <w:rsid w:val="00E8731F"/>
    <w:rsid w:val="00EA708D"/>
    <w:rsid w:val="00EB41B8"/>
    <w:rsid w:val="00EC0548"/>
    <w:rsid w:val="00F32F54"/>
    <w:rsid w:val="00F56109"/>
    <w:rsid w:val="00F7233E"/>
    <w:rsid w:val="00F766BE"/>
    <w:rsid w:val="00FB4F1C"/>
    <w:rsid w:val="00FD1D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19563"/>
  <w15:chartTrackingRefBased/>
  <w15:docId w15:val="{1CFEC318-2AB5-403D-ACA6-451643A62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7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482D"/>
    <w:pPr>
      <w:keepNext/>
      <w:keepLines/>
      <w:spacing w:before="160" w:after="80"/>
      <w:outlineLvl w:val="2"/>
    </w:pPr>
    <w:rPr>
      <w:rFonts w:eastAsiaTheme="majorEastAsia" w:cstheme="majorBidi"/>
      <w:i/>
      <w:color w:val="0F4761" w:themeColor="accent1" w:themeShade="BF"/>
      <w:sz w:val="28"/>
      <w:szCs w:val="28"/>
    </w:rPr>
  </w:style>
  <w:style w:type="paragraph" w:styleId="Heading4">
    <w:name w:val="heading 4"/>
    <w:basedOn w:val="Normal"/>
    <w:next w:val="Normal"/>
    <w:link w:val="Heading4Char"/>
    <w:uiPriority w:val="9"/>
    <w:unhideWhenUsed/>
    <w:qFormat/>
    <w:rsid w:val="00717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7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482D"/>
    <w:rPr>
      <w:rFonts w:eastAsiaTheme="majorEastAsia" w:cstheme="majorBidi"/>
      <w:i/>
      <w:color w:val="0F4761" w:themeColor="accent1" w:themeShade="BF"/>
      <w:sz w:val="28"/>
      <w:szCs w:val="28"/>
    </w:rPr>
  </w:style>
  <w:style w:type="character" w:customStyle="1" w:styleId="Heading4Char">
    <w:name w:val="Heading 4 Char"/>
    <w:basedOn w:val="DefaultParagraphFont"/>
    <w:link w:val="Heading4"/>
    <w:uiPriority w:val="9"/>
    <w:rsid w:val="00717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469"/>
    <w:rPr>
      <w:rFonts w:eastAsiaTheme="majorEastAsia" w:cstheme="majorBidi"/>
      <w:color w:val="272727" w:themeColor="text1" w:themeTint="D8"/>
    </w:rPr>
  </w:style>
  <w:style w:type="paragraph" w:styleId="Title">
    <w:name w:val="Title"/>
    <w:basedOn w:val="Normal"/>
    <w:next w:val="Normal"/>
    <w:link w:val="TitleChar"/>
    <w:uiPriority w:val="10"/>
    <w:qFormat/>
    <w:rsid w:val="0015561B"/>
    <w:pPr>
      <w:spacing w:after="80" w:line="240" w:lineRule="auto"/>
      <w:contextualSpacing/>
    </w:pPr>
    <w:rPr>
      <w:rFonts w:asciiTheme="majorHAnsi" w:eastAsiaTheme="majorEastAsia" w:hAnsiTheme="majorHAnsi" w:cstheme="majorBidi"/>
      <w:color w:val="0F4761" w:themeColor="accent1" w:themeShade="BF"/>
      <w:spacing w:val="-10"/>
      <w:kern w:val="28"/>
      <w:sz w:val="96"/>
      <w:szCs w:val="56"/>
    </w:rPr>
  </w:style>
  <w:style w:type="character" w:customStyle="1" w:styleId="TitleChar">
    <w:name w:val="Title Char"/>
    <w:basedOn w:val="DefaultParagraphFont"/>
    <w:link w:val="Title"/>
    <w:uiPriority w:val="10"/>
    <w:rsid w:val="0015561B"/>
    <w:rPr>
      <w:rFonts w:asciiTheme="majorHAnsi" w:eastAsiaTheme="majorEastAsia" w:hAnsiTheme="majorHAnsi" w:cstheme="majorBidi"/>
      <w:color w:val="0F4761" w:themeColor="accent1" w:themeShade="BF"/>
      <w:spacing w:val="-10"/>
      <w:kern w:val="28"/>
      <w:sz w:val="96"/>
      <w:szCs w:val="56"/>
    </w:rPr>
  </w:style>
  <w:style w:type="paragraph" w:styleId="Subtitle">
    <w:name w:val="Subtitle"/>
    <w:basedOn w:val="Normal"/>
    <w:next w:val="Normal"/>
    <w:link w:val="SubtitleChar"/>
    <w:uiPriority w:val="11"/>
    <w:qFormat/>
    <w:rsid w:val="00717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469"/>
    <w:pPr>
      <w:spacing w:before="160"/>
      <w:jc w:val="center"/>
    </w:pPr>
    <w:rPr>
      <w:i/>
      <w:iCs/>
      <w:color w:val="404040" w:themeColor="text1" w:themeTint="BF"/>
    </w:rPr>
  </w:style>
  <w:style w:type="character" w:customStyle="1" w:styleId="QuoteChar">
    <w:name w:val="Quote Char"/>
    <w:basedOn w:val="DefaultParagraphFont"/>
    <w:link w:val="Quote"/>
    <w:uiPriority w:val="29"/>
    <w:rsid w:val="00717469"/>
    <w:rPr>
      <w:i/>
      <w:iCs/>
      <w:color w:val="404040" w:themeColor="text1" w:themeTint="BF"/>
    </w:rPr>
  </w:style>
  <w:style w:type="paragraph" w:styleId="ListParagraph">
    <w:name w:val="List Paragraph"/>
    <w:basedOn w:val="Normal"/>
    <w:uiPriority w:val="34"/>
    <w:qFormat/>
    <w:rsid w:val="00717469"/>
    <w:pPr>
      <w:ind w:left="720"/>
      <w:contextualSpacing/>
    </w:pPr>
  </w:style>
  <w:style w:type="character" w:styleId="IntenseEmphasis">
    <w:name w:val="Intense Emphasis"/>
    <w:basedOn w:val="DefaultParagraphFont"/>
    <w:uiPriority w:val="21"/>
    <w:qFormat/>
    <w:rsid w:val="00717469"/>
    <w:rPr>
      <w:i/>
      <w:iCs/>
      <w:color w:val="0F4761" w:themeColor="accent1" w:themeShade="BF"/>
    </w:rPr>
  </w:style>
  <w:style w:type="paragraph" w:styleId="IntenseQuote">
    <w:name w:val="Intense Quote"/>
    <w:basedOn w:val="Normal"/>
    <w:next w:val="Normal"/>
    <w:link w:val="IntenseQuoteChar"/>
    <w:uiPriority w:val="30"/>
    <w:qFormat/>
    <w:rsid w:val="00717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469"/>
    <w:rPr>
      <w:i/>
      <w:iCs/>
      <w:color w:val="0F4761" w:themeColor="accent1" w:themeShade="BF"/>
    </w:rPr>
  </w:style>
  <w:style w:type="character" w:styleId="IntenseReference">
    <w:name w:val="Intense Reference"/>
    <w:basedOn w:val="DefaultParagraphFont"/>
    <w:uiPriority w:val="32"/>
    <w:qFormat/>
    <w:rsid w:val="00717469"/>
    <w:rPr>
      <w:b/>
      <w:bCs/>
      <w:smallCaps/>
      <w:color w:val="0F4761" w:themeColor="accent1" w:themeShade="BF"/>
      <w:spacing w:val="5"/>
    </w:rPr>
  </w:style>
  <w:style w:type="paragraph" w:styleId="Header">
    <w:name w:val="header"/>
    <w:basedOn w:val="Normal"/>
    <w:link w:val="HeaderChar"/>
    <w:uiPriority w:val="99"/>
    <w:unhideWhenUsed/>
    <w:rsid w:val="00770B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0B2E"/>
  </w:style>
  <w:style w:type="paragraph" w:styleId="Footer">
    <w:name w:val="footer"/>
    <w:basedOn w:val="Normal"/>
    <w:link w:val="FooterChar"/>
    <w:uiPriority w:val="99"/>
    <w:unhideWhenUsed/>
    <w:rsid w:val="00770B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0B2E"/>
  </w:style>
  <w:style w:type="character" w:styleId="PlaceholderText">
    <w:name w:val="Placeholder Text"/>
    <w:basedOn w:val="DefaultParagraphFont"/>
    <w:uiPriority w:val="99"/>
    <w:semiHidden/>
    <w:rsid w:val="00EC0548"/>
    <w:rPr>
      <w:color w:val="666666"/>
    </w:rPr>
  </w:style>
  <w:style w:type="character" w:styleId="Hyperlink">
    <w:name w:val="Hyperlink"/>
    <w:basedOn w:val="DefaultParagraphFont"/>
    <w:uiPriority w:val="99"/>
    <w:semiHidden/>
    <w:unhideWhenUsed/>
    <w:rsid w:val="00687F99"/>
    <w:rPr>
      <w:color w:val="467886"/>
      <w:u w:val="single"/>
    </w:rPr>
  </w:style>
  <w:style w:type="character" w:styleId="FollowedHyperlink">
    <w:name w:val="FollowedHyperlink"/>
    <w:basedOn w:val="DefaultParagraphFont"/>
    <w:uiPriority w:val="99"/>
    <w:semiHidden/>
    <w:unhideWhenUsed/>
    <w:rsid w:val="00687F99"/>
    <w:rPr>
      <w:color w:val="96607D"/>
      <w:u w:val="single"/>
    </w:rPr>
  </w:style>
  <w:style w:type="paragraph" w:customStyle="1" w:styleId="msonormal0">
    <w:name w:val="msonormal"/>
    <w:basedOn w:val="Normal"/>
    <w:rsid w:val="00687F9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xl65">
    <w:name w:val="xl65"/>
    <w:basedOn w:val="Normal"/>
    <w:rsid w:val="00687F99"/>
    <w:pPr>
      <w:pBdr>
        <w:top w:val="single" w:sz="4" w:space="0" w:color="B2B2B2"/>
        <w:left w:val="single" w:sz="4" w:space="0" w:color="B2B2B2"/>
        <w:bottom w:val="single" w:sz="4" w:space="0" w:color="B2B2B2"/>
        <w:right w:val="single" w:sz="4" w:space="0" w:color="B2B2B2"/>
      </w:pBdr>
      <w:shd w:val="clear" w:color="000000" w:fill="FFFFCC"/>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xl66">
    <w:name w:val="xl66"/>
    <w:basedOn w:val="Normal"/>
    <w:rsid w:val="00687F99"/>
    <w:pPr>
      <w:pBdr>
        <w:bottom w:val="single" w:sz="8" w:space="0" w:color="44B3E1"/>
      </w:pBdr>
      <w:spacing w:before="100" w:beforeAutospacing="1" w:after="100" w:afterAutospacing="1" w:line="240" w:lineRule="auto"/>
    </w:pPr>
    <w:rPr>
      <w:rFonts w:ascii="Times New Roman" w:eastAsia="Times New Roman" w:hAnsi="Times New Roman" w:cs="Times New Roman"/>
      <w:b/>
      <w:bCs/>
      <w:color w:val="0E2841"/>
      <w:kern w:val="0"/>
      <w14:ligatures w14:val="none"/>
    </w:rPr>
  </w:style>
  <w:style w:type="paragraph" w:styleId="NoSpacing">
    <w:name w:val="No Spacing"/>
    <w:link w:val="NoSpacingChar"/>
    <w:uiPriority w:val="1"/>
    <w:qFormat/>
    <w:rsid w:val="00797F5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97F5E"/>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75659">
      <w:bodyDiv w:val="1"/>
      <w:marLeft w:val="0"/>
      <w:marRight w:val="0"/>
      <w:marTop w:val="0"/>
      <w:marBottom w:val="0"/>
      <w:divBdr>
        <w:top w:val="none" w:sz="0" w:space="0" w:color="auto"/>
        <w:left w:val="none" w:sz="0" w:space="0" w:color="auto"/>
        <w:bottom w:val="none" w:sz="0" w:space="0" w:color="auto"/>
        <w:right w:val="none" w:sz="0" w:space="0" w:color="auto"/>
      </w:divBdr>
    </w:div>
    <w:div w:id="119349474">
      <w:bodyDiv w:val="1"/>
      <w:marLeft w:val="0"/>
      <w:marRight w:val="0"/>
      <w:marTop w:val="0"/>
      <w:marBottom w:val="0"/>
      <w:divBdr>
        <w:top w:val="none" w:sz="0" w:space="0" w:color="auto"/>
        <w:left w:val="none" w:sz="0" w:space="0" w:color="auto"/>
        <w:bottom w:val="none" w:sz="0" w:space="0" w:color="auto"/>
        <w:right w:val="none" w:sz="0" w:space="0" w:color="auto"/>
      </w:divBdr>
    </w:div>
    <w:div w:id="226183378">
      <w:bodyDiv w:val="1"/>
      <w:marLeft w:val="0"/>
      <w:marRight w:val="0"/>
      <w:marTop w:val="0"/>
      <w:marBottom w:val="0"/>
      <w:divBdr>
        <w:top w:val="none" w:sz="0" w:space="0" w:color="auto"/>
        <w:left w:val="none" w:sz="0" w:space="0" w:color="auto"/>
        <w:bottom w:val="none" w:sz="0" w:space="0" w:color="auto"/>
        <w:right w:val="none" w:sz="0" w:space="0" w:color="auto"/>
      </w:divBdr>
    </w:div>
    <w:div w:id="260335414">
      <w:bodyDiv w:val="1"/>
      <w:marLeft w:val="0"/>
      <w:marRight w:val="0"/>
      <w:marTop w:val="0"/>
      <w:marBottom w:val="0"/>
      <w:divBdr>
        <w:top w:val="none" w:sz="0" w:space="0" w:color="auto"/>
        <w:left w:val="none" w:sz="0" w:space="0" w:color="auto"/>
        <w:bottom w:val="none" w:sz="0" w:space="0" w:color="auto"/>
        <w:right w:val="none" w:sz="0" w:space="0" w:color="auto"/>
      </w:divBdr>
    </w:div>
    <w:div w:id="391856853">
      <w:bodyDiv w:val="1"/>
      <w:marLeft w:val="0"/>
      <w:marRight w:val="0"/>
      <w:marTop w:val="0"/>
      <w:marBottom w:val="0"/>
      <w:divBdr>
        <w:top w:val="none" w:sz="0" w:space="0" w:color="auto"/>
        <w:left w:val="none" w:sz="0" w:space="0" w:color="auto"/>
        <w:bottom w:val="none" w:sz="0" w:space="0" w:color="auto"/>
        <w:right w:val="none" w:sz="0" w:space="0" w:color="auto"/>
      </w:divBdr>
    </w:div>
    <w:div w:id="430512792">
      <w:bodyDiv w:val="1"/>
      <w:marLeft w:val="0"/>
      <w:marRight w:val="0"/>
      <w:marTop w:val="0"/>
      <w:marBottom w:val="0"/>
      <w:divBdr>
        <w:top w:val="none" w:sz="0" w:space="0" w:color="auto"/>
        <w:left w:val="none" w:sz="0" w:space="0" w:color="auto"/>
        <w:bottom w:val="none" w:sz="0" w:space="0" w:color="auto"/>
        <w:right w:val="none" w:sz="0" w:space="0" w:color="auto"/>
      </w:divBdr>
    </w:div>
    <w:div w:id="523786614">
      <w:bodyDiv w:val="1"/>
      <w:marLeft w:val="0"/>
      <w:marRight w:val="0"/>
      <w:marTop w:val="0"/>
      <w:marBottom w:val="0"/>
      <w:divBdr>
        <w:top w:val="none" w:sz="0" w:space="0" w:color="auto"/>
        <w:left w:val="none" w:sz="0" w:space="0" w:color="auto"/>
        <w:bottom w:val="none" w:sz="0" w:space="0" w:color="auto"/>
        <w:right w:val="none" w:sz="0" w:space="0" w:color="auto"/>
      </w:divBdr>
    </w:div>
    <w:div w:id="660082964">
      <w:bodyDiv w:val="1"/>
      <w:marLeft w:val="0"/>
      <w:marRight w:val="0"/>
      <w:marTop w:val="0"/>
      <w:marBottom w:val="0"/>
      <w:divBdr>
        <w:top w:val="none" w:sz="0" w:space="0" w:color="auto"/>
        <w:left w:val="none" w:sz="0" w:space="0" w:color="auto"/>
        <w:bottom w:val="none" w:sz="0" w:space="0" w:color="auto"/>
        <w:right w:val="none" w:sz="0" w:space="0" w:color="auto"/>
      </w:divBdr>
    </w:div>
    <w:div w:id="690763968">
      <w:bodyDiv w:val="1"/>
      <w:marLeft w:val="0"/>
      <w:marRight w:val="0"/>
      <w:marTop w:val="0"/>
      <w:marBottom w:val="0"/>
      <w:divBdr>
        <w:top w:val="none" w:sz="0" w:space="0" w:color="auto"/>
        <w:left w:val="none" w:sz="0" w:space="0" w:color="auto"/>
        <w:bottom w:val="none" w:sz="0" w:space="0" w:color="auto"/>
        <w:right w:val="none" w:sz="0" w:space="0" w:color="auto"/>
      </w:divBdr>
    </w:div>
    <w:div w:id="855730099">
      <w:bodyDiv w:val="1"/>
      <w:marLeft w:val="0"/>
      <w:marRight w:val="0"/>
      <w:marTop w:val="0"/>
      <w:marBottom w:val="0"/>
      <w:divBdr>
        <w:top w:val="none" w:sz="0" w:space="0" w:color="auto"/>
        <w:left w:val="none" w:sz="0" w:space="0" w:color="auto"/>
        <w:bottom w:val="none" w:sz="0" w:space="0" w:color="auto"/>
        <w:right w:val="none" w:sz="0" w:space="0" w:color="auto"/>
      </w:divBdr>
    </w:div>
    <w:div w:id="943538312">
      <w:bodyDiv w:val="1"/>
      <w:marLeft w:val="0"/>
      <w:marRight w:val="0"/>
      <w:marTop w:val="0"/>
      <w:marBottom w:val="0"/>
      <w:divBdr>
        <w:top w:val="none" w:sz="0" w:space="0" w:color="auto"/>
        <w:left w:val="none" w:sz="0" w:space="0" w:color="auto"/>
        <w:bottom w:val="none" w:sz="0" w:space="0" w:color="auto"/>
        <w:right w:val="none" w:sz="0" w:space="0" w:color="auto"/>
      </w:divBdr>
    </w:div>
    <w:div w:id="1161652795">
      <w:bodyDiv w:val="1"/>
      <w:marLeft w:val="0"/>
      <w:marRight w:val="0"/>
      <w:marTop w:val="0"/>
      <w:marBottom w:val="0"/>
      <w:divBdr>
        <w:top w:val="none" w:sz="0" w:space="0" w:color="auto"/>
        <w:left w:val="none" w:sz="0" w:space="0" w:color="auto"/>
        <w:bottom w:val="none" w:sz="0" w:space="0" w:color="auto"/>
        <w:right w:val="none" w:sz="0" w:space="0" w:color="auto"/>
      </w:divBdr>
    </w:div>
    <w:div w:id="1178690291">
      <w:bodyDiv w:val="1"/>
      <w:marLeft w:val="0"/>
      <w:marRight w:val="0"/>
      <w:marTop w:val="0"/>
      <w:marBottom w:val="0"/>
      <w:divBdr>
        <w:top w:val="none" w:sz="0" w:space="0" w:color="auto"/>
        <w:left w:val="none" w:sz="0" w:space="0" w:color="auto"/>
        <w:bottom w:val="none" w:sz="0" w:space="0" w:color="auto"/>
        <w:right w:val="none" w:sz="0" w:space="0" w:color="auto"/>
      </w:divBdr>
    </w:div>
    <w:div w:id="1421292492">
      <w:bodyDiv w:val="1"/>
      <w:marLeft w:val="0"/>
      <w:marRight w:val="0"/>
      <w:marTop w:val="0"/>
      <w:marBottom w:val="0"/>
      <w:divBdr>
        <w:top w:val="none" w:sz="0" w:space="0" w:color="auto"/>
        <w:left w:val="none" w:sz="0" w:space="0" w:color="auto"/>
        <w:bottom w:val="none" w:sz="0" w:space="0" w:color="auto"/>
        <w:right w:val="none" w:sz="0" w:space="0" w:color="auto"/>
      </w:divBdr>
    </w:div>
    <w:div w:id="1468165619">
      <w:bodyDiv w:val="1"/>
      <w:marLeft w:val="0"/>
      <w:marRight w:val="0"/>
      <w:marTop w:val="0"/>
      <w:marBottom w:val="0"/>
      <w:divBdr>
        <w:top w:val="none" w:sz="0" w:space="0" w:color="auto"/>
        <w:left w:val="none" w:sz="0" w:space="0" w:color="auto"/>
        <w:bottom w:val="none" w:sz="0" w:space="0" w:color="auto"/>
        <w:right w:val="none" w:sz="0" w:space="0" w:color="auto"/>
      </w:divBdr>
    </w:div>
    <w:div w:id="1589072467">
      <w:bodyDiv w:val="1"/>
      <w:marLeft w:val="0"/>
      <w:marRight w:val="0"/>
      <w:marTop w:val="0"/>
      <w:marBottom w:val="0"/>
      <w:divBdr>
        <w:top w:val="none" w:sz="0" w:space="0" w:color="auto"/>
        <w:left w:val="none" w:sz="0" w:space="0" w:color="auto"/>
        <w:bottom w:val="none" w:sz="0" w:space="0" w:color="auto"/>
        <w:right w:val="none" w:sz="0" w:space="0" w:color="auto"/>
      </w:divBdr>
    </w:div>
    <w:div w:id="1629554885">
      <w:bodyDiv w:val="1"/>
      <w:marLeft w:val="0"/>
      <w:marRight w:val="0"/>
      <w:marTop w:val="0"/>
      <w:marBottom w:val="0"/>
      <w:divBdr>
        <w:top w:val="none" w:sz="0" w:space="0" w:color="auto"/>
        <w:left w:val="none" w:sz="0" w:space="0" w:color="auto"/>
        <w:bottom w:val="none" w:sz="0" w:space="0" w:color="auto"/>
        <w:right w:val="none" w:sz="0" w:space="0" w:color="auto"/>
      </w:divBdr>
    </w:div>
    <w:div w:id="1753350968">
      <w:bodyDiv w:val="1"/>
      <w:marLeft w:val="0"/>
      <w:marRight w:val="0"/>
      <w:marTop w:val="0"/>
      <w:marBottom w:val="0"/>
      <w:divBdr>
        <w:top w:val="none" w:sz="0" w:space="0" w:color="auto"/>
        <w:left w:val="none" w:sz="0" w:space="0" w:color="auto"/>
        <w:bottom w:val="none" w:sz="0" w:space="0" w:color="auto"/>
        <w:right w:val="none" w:sz="0" w:space="0" w:color="auto"/>
      </w:divBdr>
    </w:div>
    <w:div w:id="1954438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8E709EA03F4160A0D55C07E1225A03"/>
        <w:category>
          <w:name w:val="General"/>
          <w:gallery w:val="placeholder"/>
        </w:category>
        <w:types>
          <w:type w:val="bbPlcHdr"/>
        </w:types>
        <w:behaviors>
          <w:behavior w:val="content"/>
        </w:behaviors>
        <w:guid w:val="{34E4FB79-E439-4606-998F-BFD0E98043C6}"/>
      </w:docPartPr>
      <w:docPartBody>
        <w:p w:rsidR="00BD2CCD" w:rsidRDefault="004A23A5" w:rsidP="004A23A5">
          <w:pPr>
            <w:pStyle w:val="618E709EA03F4160A0D55C07E1225A03"/>
          </w:pPr>
          <w:r>
            <w:rPr>
              <w:color w:val="0F4761" w:themeColor="accent1" w:themeShade="BF"/>
            </w:rPr>
            <w:t>[Company name]</w:t>
          </w:r>
        </w:p>
      </w:docPartBody>
    </w:docPart>
    <w:docPart>
      <w:docPartPr>
        <w:name w:val="B3A9AF9DA2AA4397A2B5F0E354A14B25"/>
        <w:category>
          <w:name w:val="General"/>
          <w:gallery w:val="placeholder"/>
        </w:category>
        <w:types>
          <w:type w:val="bbPlcHdr"/>
        </w:types>
        <w:behaviors>
          <w:behavior w:val="content"/>
        </w:behaviors>
        <w:guid w:val="{E4DDFDE1-9D59-4177-904E-7E521832F9B3}"/>
      </w:docPartPr>
      <w:docPartBody>
        <w:p w:rsidR="00BD2CCD" w:rsidRDefault="004A23A5" w:rsidP="004A23A5">
          <w:pPr>
            <w:pStyle w:val="B3A9AF9DA2AA4397A2B5F0E354A14B25"/>
          </w:pPr>
          <w:r>
            <w:rPr>
              <w:rFonts w:asciiTheme="majorHAnsi" w:eastAsiaTheme="majorEastAsia" w:hAnsiTheme="majorHAnsi"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Aptos Narrow">
    <w:altName w:val="Calibri"/>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3A5"/>
    <w:rsid w:val="001E1FFF"/>
    <w:rsid w:val="004A23A5"/>
    <w:rsid w:val="00615846"/>
    <w:rsid w:val="00BD2CCD"/>
    <w:rsid w:val="00FF6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18E709EA03F4160A0D55C07E1225A03">
    <w:name w:val="618E709EA03F4160A0D55C07E1225A03"/>
    <w:rsid w:val="004A23A5"/>
  </w:style>
  <w:style w:type="paragraph" w:customStyle="1" w:styleId="B3A9AF9DA2AA4397A2B5F0E354A14B25">
    <w:name w:val="B3A9AF9DA2AA4397A2B5F0E354A14B25"/>
    <w:rsid w:val="004A23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2026-08-08T00:00:00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0ED7D61-6D87-4C48-9F2D-70DF4EB07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2862</TotalTime>
  <Pages>18</Pages>
  <Words>2943</Words>
  <Characters>16778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Time Series Modeling and Forecasting of Georgia Docks Chicken Prices</vt:lpstr>
    </vt:vector>
  </TitlesOfParts>
  <Company>MATH 546 - Summer 2026</Company>
  <LinksUpToDate>false</LinksUpToDate>
  <CharactersWithSpaces>19682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Series Modeling and Forecasting of Georgia Docks Chicken Prices</dc:title>
  <dc:subject>Summer 2026</dc:subject>
  <dc:creator>Monica Yesildirek</dc:creator>
  <cp:keywords/>
  <dc:description/>
  <cp:lastModifiedBy>Monica Yesildirek</cp:lastModifiedBy>
  <cp:revision>79</cp:revision>
  <dcterms:created xsi:type="dcterms:W3CDTF">2026-08-06T19:06:00Z</dcterms:created>
  <dcterms:modified xsi:type="dcterms:W3CDTF">2026-08-08T18:58:00Z</dcterms:modified>
</cp:coreProperties>
</file>