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ECA13 – MICROWAVE ENGINEERING</w:t>
        <w:br/>
        <w:t>CO1 APPLICATION-BASED ASSESSMENT</w:t>
      </w:r>
    </w:p>
    <w:p>
      <w:pPr>
        <w:jc w:val="center"/>
      </w:pPr>
      <w:r>
        <w:rPr>
          <w:i/>
        </w:rPr>
        <w:t>Analysis, Design and Verification of a Microwave Transmission Line and Network</w:t>
      </w:r>
    </w:p>
    <w:p>
      <w:r>
        <w:t>Name: B Monicasaran</w:t>
      </w:r>
    </w:p>
    <w:p>
      <w:r>
        <w:t>Register Number: 1912260042</w:t>
      </w:r>
    </w:p>
    <w:p>
      <w:r>
        <w:t>Selected application: X-band radar receiver feed network using a WR-90 rectangular waveguide</w:t>
      </w:r>
    </w:p>
    <w:p>
      <w:r>
        <w:t>Operating frequency: 10 GHz | Dominant mode: TE₁₀ | Waveguide length used for the example: 0.30 m</w:t>
      </w:r>
    </w:p>
    <w:p>
      <w:r>
        <w:t>Note: The assignment sheet leaves the application and numerical requirements to the student. The values below are a consistent worked design example. Loss figures for transitions and the improved design are engineering estimates for the report, not measured laboratory results; they should be replaced by simulation or datasheet values if available.</w:t>
      </w:r>
    </w:p>
    <w:p>
      <w:pPr>
        <w:pStyle w:val="Heading1"/>
      </w:pPr>
      <w:r>
        <w:t>STAGE 1 – FORMULATE THE APPLICATION AND OPERATING REQUIREMENT</w:t>
      </w:r>
    </w:p>
    <w:p>
      <w:pPr>
        <w:pStyle w:val="Heading2"/>
      </w:pPr>
      <w:r>
        <w:t>1.1 Application and importance</w:t>
      </w:r>
    </w:p>
    <w:p>
      <w:r>
        <w:t>The selected application is the feed network between an X-band radar antenna and its receiver. Radar sends microwave energy towards an object and receives a weak reflected signal. The feed must carry the signal with low loss and limited reflection so that the receiver gets as much of the available signal as possible. A rectangular waveguide is suitable because it can carry microwave power with low conductor loss and provides a clear dominant propagation mode over a defined frequency range.</w:t>
      </w:r>
    </w:p>
    <w:p>
      <w:r>
        <w:t>Microwave technology developed from Maxwell’s electromagnetic theory and Hertz’s experiments demonstrating electromagnetic waves. The cavity magnetron made high-power microwave generation practical and helped radar develop rapidly during the Second World War. Later, satellite communication, solid-state microwave devices, monolithic microwave integrated circuits (MMICs), and modern 5G/6G systems expanded microwave use. X-band radar remains useful in weather monitoring, navigation, tracking and remote sensing.</w:t>
      </w:r>
    </w:p>
    <w:p>
      <w:pPr>
        <w:pStyle w:val="Heading2"/>
      </w:pPr>
      <w:r>
        <w:t>1.2 Frequency-band comparison</w:t>
      </w:r>
    </w:p>
    <w:tbl>
      <w:tblPr>
        <w:tblStyle w:val="LightShading-Accent1"/>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tcPr>
          <w:p>
            <w:r>
              <w:rPr>
                <w:sz w:val="17"/>
              </w:rPr>
              <w:t>Band</w:t>
            </w:r>
          </w:p>
        </w:tc>
        <w:tc>
          <w:tcPr>
            <w:tcW w:type="dxa" w:w="2016"/>
            <w:vAlign w:val="center"/>
          </w:tcPr>
          <w:p>
            <w:r>
              <w:rPr>
                <w:sz w:val="17"/>
              </w:rPr>
              <w:t>Example frequency</w:t>
            </w:r>
          </w:p>
        </w:tc>
        <w:tc>
          <w:tcPr>
            <w:tcW w:type="dxa" w:w="2016"/>
            <w:vAlign w:val="center"/>
          </w:tcPr>
          <w:p>
            <w:r>
              <w:rPr>
                <w:sz w:val="17"/>
              </w:rPr>
              <w:t>Free-space wavelength</w:t>
            </w:r>
          </w:p>
        </w:tc>
        <w:tc>
          <w:tcPr>
            <w:tcW w:type="dxa" w:w="2016"/>
            <w:vAlign w:val="center"/>
          </w:tcPr>
          <w:p>
            <w:r>
              <w:rPr>
                <w:sz w:val="17"/>
              </w:rPr>
              <w:t>Advantages</w:t>
            </w:r>
          </w:p>
        </w:tc>
        <w:tc>
          <w:tcPr>
            <w:tcW w:type="dxa" w:w="2016"/>
            <w:vAlign w:val="center"/>
          </w:tcPr>
          <w:p>
            <w:r>
              <w:rPr>
                <w:sz w:val="17"/>
              </w:rPr>
              <w:t>Limitations</w:t>
            </w:r>
          </w:p>
        </w:tc>
      </w:tr>
      <w:tr>
        <w:tc>
          <w:tcPr>
            <w:tcW w:type="dxa" w:w="2016"/>
            <w:vAlign w:val="center"/>
          </w:tcPr>
          <w:p>
            <w:r>
              <w:rPr>
                <w:sz w:val="17"/>
              </w:rPr>
              <w:t>S band</w:t>
            </w:r>
          </w:p>
        </w:tc>
        <w:tc>
          <w:tcPr>
            <w:tcW w:type="dxa" w:w="2016"/>
            <w:vAlign w:val="center"/>
          </w:tcPr>
          <w:p>
            <w:r>
              <w:rPr>
                <w:sz w:val="17"/>
              </w:rPr>
              <w:t>2–4 GHz</w:t>
            </w:r>
          </w:p>
        </w:tc>
        <w:tc>
          <w:tcPr>
            <w:tcW w:type="dxa" w:w="2016"/>
            <w:vAlign w:val="center"/>
          </w:tcPr>
          <w:p>
            <w:r>
              <w:rPr>
                <w:sz w:val="17"/>
              </w:rPr>
              <w:t>7.5–15 cm</w:t>
            </w:r>
          </w:p>
        </w:tc>
        <w:tc>
          <w:tcPr>
            <w:tcW w:type="dxa" w:w="2016"/>
            <w:vAlign w:val="center"/>
          </w:tcPr>
          <w:p>
            <w:r>
              <w:rPr>
                <w:sz w:val="17"/>
              </w:rPr>
              <w:t>Lower rain attenuation; useful for longer-range radar</w:t>
            </w:r>
          </w:p>
        </w:tc>
        <w:tc>
          <w:tcPr>
            <w:tcW w:type="dxa" w:w="2016"/>
            <w:vAlign w:val="center"/>
          </w:tcPr>
          <w:p>
            <w:r>
              <w:rPr>
                <w:sz w:val="17"/>
              </w:rPr>
              <w:t>Larger components and antennas for the same beamwidth</w:t>
            </w:r>
          </w:p>
        </w:tc>
      </w:tr>
      <w:tr>
        <w:tc>
          <w:tcPr>
            <w:tcW w:type="dxa" w:w="2016"/>
            <w:vAlign w:val="center"/>
          </w:tcPr>
          <w:p>
            <w:r>
              <w:rPr>
                <w:sz w:val="17"/>
              </w:rPr>
              <w:t>C band</w:t>
            </w:r>
          </w:p>
        </w:tc>
        <w:tc>
          <w:tcPr>
            <w:tcW w:type="dxa" w:w="2016"/>
            <w:vAlign w:val="center"/>
          </w:tcPr>
          <w:p>
            <w:r>
              <w:rPr>
                <w:sz w:val="17"/>
              </w:rPr>
              <w:t>4–8 GHz</w:t>
            </w:r>
          </w:p>
        </w:tc>
        <w:tc>
          <w:tcPr>
            <w:tcW w:type="dxa" w:w="2016"/>
            <w:vAlign w:val="center"/>
          </w:tcPr>
          <w:p>
            <w:r>
              <w:rPr>
                <w:sz w:val="17"/>
              </w:rPr>
              <w:t>3.75–7.5 cm</w:t>
            </w:r>
          </w:p>
        </w:tc>
        <w:tc>
          <w:tcPr>
            <w:tcW w:type="dxa" w:w="2016"/>
            <w:vAlign w:val="center"/>
          </w:tcPr>
          <w:p>
            <w:r>
              <w:rPr>
                <w:sz w:val="17"/>
              </w:rPr>
              <w:t>Moderate component size and weather performance</w:t>
            </w:r>
          </w:p>
        </w:tc>
        <w:tc>
          <w:tcPr>
            <w:tcW w:type="dxa" w:w="2016"/>
            <w:vAlign w:val="center"/>
          </w:tcPr>
          <w:p>
            <w:r>
              <w:rPr>
                <w:sz w:val="17"/>
              </w:rPr>
              <w:t>Larger feed components than X band</w:t>
            </w:r>
          </w:p>
        </w:tc>
      </w:tr>
      <w:tr>
        <w:tc>
          <w:tcPr>
            <w:tcW w:type="dxa" w:w="2016"/>
            <w:vAlign w:val="center"/>
          </w:tcPr>
          <w:p>
            <w:r>
              <w:rPr>
                <w:sz w:val="17"/>
              </w:rPr>
              <w:t>X band</w:t>
            </w:r>
          </w:p>
        </w:tc>
        <w:tc>
          <w:tcPr>
            <w:tcW w:type="dxa" w:w="2016"/>
            <w:vAlign w:val="center"/>
          </w:tcPr>
          <w:p>
            <w:r>
              <w:rPr>
                <w:sz w:val="17"/>
              </w:rPr>
              <w:t>8–12 GHz</w:t>
            </w:r>
          </w:p>
        </w:tc>
        <w:tc>
          <w:tcPr>
            <w:tcW w:type="dxa" w:w="2016"/>
            <w:vAlign w:val="center"/>
          </w:tcPr>
          <w:p>
            <w:r>
              <w:rPr>
                <w:sz w:val="17"/>
              </w:rPr>
              <w:t>2.5–3.75 cm</w:t>
            </w:r>
          </w:p>
        </w:tc>
        <w:tc>
          <w:tcPr>
            <w:tcW w:type="dxa" w:w="2016"/>
            <w:vAlign w:val="center"/>
          </w:tcPr>
          <w:p>
            <w:r>
              <w:rPr>
                <w:sz w:val="17"/>
              </w:rPr>
              <w:t>Compact components; good resolution and established radar hardware</w:t>
            </w:r>
          </w:p>
        </w:tc>
        <w:tc>
          <w:tcPr>
            <w:tcW w:type="dxa" w:w="2016"/>
            <w:vAlign w:val="center"/>
          </w:tcPr>
          <w:p>
            <w:r>
              <w:rPr>
                <w:sz w:val="17"/>
              </w:rPr>
              <w:t>Rain and atmospheric attenuation are generally higher than at lower bands</w:t>
            </w:r>
          </w:p>
        </w:tc>
      </w:tr>
    </w:tbl>
    <w:p/>
    <w:p>
      <w:r>
        <w:t>X band is selected at 10 GHz because it is within the common 8–12 GHz X-band range and WR-90 is designed for this band. The free-space wavelength is approximately 30.0 mm. The selected operating band for this design is 9.5–10.5 GHz, with 10 GHz used for the worked calculations. This is narrower than the full waveguide single-mode range and leaves a useful cutoff margin.</w:t>
      </w:r>
    </w:p>
    <w:p>
      <w:pPr>
        <w:pStyle w:val="Heading2"/>
      </w:pPr>
      <w:r>
        <w:t>1.3 Quantified specification</w:t>
      </w:r>
    </w:p>
    <w:tbl>
      <w:tblPr>
        <w:tblStyle w:val="LightShading-Accent1"/>
        <w:tblW w:type="auto" w:w="0"/>
        <w:jc w:val="center"/>
        <w:tblLook w:firstColumn="1" w:firstRow="1" w:lastColumn="0" w:lastRow="0" w:noHBand="0" w:noVBand="1" w:val="04A0"/>
      </w:tblPr>
      <w:tblGrid>
        <w:gridCol w:w="5040"/>
        <w:gridCol w:w="5040"/>
      </w:tblGrid>
      <w:tr>
        <w:tc>
          <w:tcPr>
            <w:tcW w:type="dxa" w:w="5040"/>
            <w:vAlign w:val="center"/>
          </w:tcPr>
          <w:p>
            <w:r>
              <w:rPr>
                <w:sz w:val="17"/>
              </w:rPr>
              <w:t>Parameter</w:t>
            </w:r>
          </w:p>
        </w:tc>
        <w:tc>
          <w:tcPr>
            <w:tcW w:type="dxa" w:w="5040"/>
            <w:vAlign w:val="center"/>
          </w:tcPr>
          <w:p>
            <w:r>
              <w:rPr>
                <w:sz w:val="17"/>
              </w:rPr>
              <w:t>Design requirement</w:t>
            </w:r>
          </w:p>
        </w:tc>
      </w:tr>
      <w:tr>
        <w:tc>
          <w:tcPr>
            <w:tcW w:type="dxa" w:w="5040"/>
            <w:vAlign w:val="center"/>
          </w:tcPr>
          <w:p>
            <w:r>
              <w:rPr>
                <w:sz w:val="17"/>
              </w:rPr>
              <w:t>Application/category</w:t>
            </w:r>
          </w:p>
        </w:tc>
        <w:tc>
          <w:tcPr>
            <w:tcW w:type="dxa" w:w="5040"/>
            <w:vAlign w:val="center"/>
          </w:tcPr>
          <w:p>
            <w:r>
              <w:rPr>
                <w:sz w:val="17"/>
              </w:rPr>
              <w:t>Civil radar receiver feed network</w:t>
            </w:r>
          </w:p>
        </w:tc>
      </w:tr>
      <w:tr>
        <w:tc>
          <w:tcPr>
            <w:tcW w:type="dxa" w:w="5040"/>
            <w:vAlign w:val="center"/>
          </w:tcPr>
          <w:p>
            <w:r>
              <w:rPr>
                <w:sz w:val="17"/>
              </w:rPr>
              <w:t>Operating frequency</w:t>
            </w:r>
          </w:p>
        </w:tc>
        <w:tc>
          <w:tcPr>
            <w:tcW w:type="dxa" w:w="5040"/>
            <w:vAlign w:val="center"/>
          </w:tcPr>
          <w:p>
            <w:r>
              <w:rPr>
                <w:sz w:val="17"/>
              </w:rPr>
              <w:t>10 GHz nominal; 9.5–10.5 GHz band</w:t>
            </w:r>
          </w:p>
        </w:tc>
      </w:tr>
      <w:tr>
        <w:tc>
          <w:tcPr>
            <w:tcW w:type="dxa" w:w="5040"/>
            <w:vAlign w:val="center"/>
          </w:tcPr>
          <w:p>
            <w:r>
              <w:rPr>
                <w:sz w:val="17"/>
              </w:rPr>
              <w:t>Structure and mode</w:t>
            </w:r>
          </w:p>
        </w:tc>
        <w:tc>
          <w:tcPr>
            <w:tcW w:type="dxa" w:w="5040"/>
            <w:vAlign w:val="center"/>
          </w:tcPr>
          <w:p>
            <w:r>
              <w:rPr>
                <w:sz w:val="17"/>
              </w:rPr>
              <w:t>WR-90 rectangular waveguide; TE₁₀</w:t>
            </w:r>
          </w:p>
        </w:tc>
      </w:tr>
      <w:tr>
        <w:tc>
          <w:tcPr>
            <w:tcW w:type="dxa" w:w="5040"/>
            <w:vAlign w:val="center"/>
          </w:tcPr>
          <w:p>
            <w:r>
              <w:rPr>
                <w:sz w:val="17"/>
              </w:rPr>
              <w:t>Waveguide dimensions</w:t>
            </w:r>
          </w:p>
        </w:tc>
        <w:tc>
          <w:tcPr>
            <w:tcW w:type="dxa" w:w="5040"/>
            <w:vAlign w:val="center"/>
          </w:tcPr>
          <w:p>
            <w:r>
              <w:rPr>
                <w:sz w:val="17"/>
              </w:rPr>
              <w:t>a = 22.86 mm, b = 10.16 mm</w:t>
            </w:r>
          </w:p>
        </w:tc>
      </w:tr>
      <w:tr>
        <w:tc>
          <w:tcPr>
            <w:tcW w:type="dxa" w:w="5040"/>
            <w:vAlign w:val="center"/>
          </w:tcPr>
          <w:p>
            <w:r>
              <w:rPr>
                <w:sz w:val="17"/>
              </w:rPr>
              <w:t>Characteristic/reference impedance</w:t>
            </w:r>
          </w:p>
        </w:tc>
        <w:tc>
          <w:tcPr>
            <w:tcW w:type="dxa" w:w="5040"/>
            <w:vAlign w:val="center"/>
          </w:tcPr>
          <w:p>
            <w:r>
              <w:rPr>
                <w:sz w:val="17"/>
              </w:rPr>
              <w:t>Modal TE impedance at 10 GHz ≈ 499 Ω; 50 Ω reference at coaxial instrument ports</w:t>
            </w:r>
          </w:p>
        </w:tc>
      </w:tr>
      <w:tr>
        <w:tc>
          <w:tcPr>
            <w:tcW w:type="dxa" w:w="5040"/>
            <w:vAlign w:val="center"/>
          </w:tcPr>
          <w:p>
            <w:r>
              <w:rPr>
                <w:sz w:val="17"/>
              </w:rPr>
              <w:t>Maximum insertion loss</w:t>
            </w:r>
          </w:p>
        </w:tc>
        <w:tc>
          <w:tcPr>
            <w:tcW w:type="dxa" w:w="5040"/>
            <w:vAlign w:val="center"/>
          </w:tcPr>
          <w:p>
            <w:r>
              <w:rPr>
                <w:sz w:val="17"/>
              </w:rPr>
              <w:t>≤ 0.5 dB over the 0.30 m feed section including transitions</w:t>
            </w:r>
          </w:p>
        </w:tc>
      </w:tr>
      <w:tr>
        <w:tc>
          <w:tcPr>
            <w:tcW w:type="dxa" w:w="5040"/>
            <w:vAlign w:val="center"/>
          </w:tcPr>
          <w:p>
            <w:r>
              <w:rPr>
                <w:sz w:val="17"/>
              </w:rPr>
              <w:t>Return loss</w:t>
            </w:r>
          </w:p>
        </w:tc>
        <w:tc>
          <w:tcPr>
            <w:tcW w:type="dxa" w:w="5040"/>
            <w:vAlign w:val="center"/>
          </w:tcPr>
          <w:p>
            <w:r>
              <w:rPr>
                <w:sz w:val="17"/>
              </w:rPr>
              <w:t>≥ 15 dB; VSWR ≤ 1.43</w:t>
            </w:r>
          </w:p>
        </w:tc>
      </w:tr>
      <w:tr>
        <w:tc>
          <w:tcPr>
            <w:tcW w:type="dxa" w:w="5040"/>
            <w:vAlign w:val="center"/>
          </w:tcPr>
          <w:p>
            <w:r>
              <w:rPr>
                <w:sz w:val="17"/>
              </w:rPr>
              <w:t>Isolation/EMI</w:t>
            </w:r>
          </w:p>
        </w:tc>
        <w:tc>
          <w:tcPr>
            <w:tcW w:type="dxa" w:w="5040"/>
            <w:vAlign w:val="center"/>
          </w:tcPr>
          <w:p>
            <w:r>
              <w:rPr>
                <w:sz w:val="17"/>
              </w:rPr>
              <w:t>Target ≥ 60 dB shielding effectiveness for a properly closed conductive assembly; verify experimentally</w:t>
            </w:r>
          </w:p>
        </w:tc>
      </w:tr>
      <w:tr>
        <w:tc>
          <w:tcPr>
            <w:tcW w:type="dxa" w:w="5040"/>
            <w:vAlign w:val="center"/>
          </w:tcPr>
          <w:p>
            <w:r>
              <w:rPr>
                <w:sz w:val="17"/>
              </w:rPr>
              <w:t>Power and packaging</w:t>
            </w:r>
          </w:p>
        </w:tc>
        <w:tc>
          <w:tcPr>
            <w:tcW w:type="dxa" w:w="5040"/>
            <w:vAlign w:val="center"/>
          </w:tcPr>
          <w:p>
            <w:r>
              <w:rPr>
                <w:sz w:val="17"/>
              </w:rPr>
              <w:t>Moderate microwave power; target assembly length ≤ 0.40 m</w:t>
            </w:r>
          </w:p>
        </w:tc>
      </w:tr>
      <w:tr>
        <w:tc>
          <w:tcPr>
            <w:tcW w:type="dxa" w:w="5040"/>
            <w:vAlign w:val="center"/>
          </w:tcPr>
          <w:p>
            <w:r>
              <w:rPr>
                <w:sz w:val="17"/>
              </w:rPr>
              <w:t>Cost target</w:t>
            </w:r>
          </w:p>
        </w:tc>
        <w:tc>
          <w:tcPr>
            <w:tcW w:type="dxa" w:w="5040"/>
            <w:vAlign w:val="center"/>
          </w:tcPr>
          <w:p>
            <w:r>
              <w:rPr>
                <w:sz w:val="17"/>
              </w:rPr>
              <w:t>Low-cost standard WR-90 components; final cost depends on local supplier</w:t>
            </w:r>
          </w:p>
        </w:tc>
      </w:tr>
    </w:tbl>
    <w:p/>
    <w:p>
      <w:r>
        <w:t>The values are project acceptance targets, not universal radar standards. The waveguide is conductive and naturally shields the field, but joints, flanges and coax-to-waveguide transitions can leak energy if they are poorly assembled.</w:t>
      </w:r>
    </w:p>
    <w:p>
      <w:pPr>
        <w:pStyle w:val="Heading2"/>
      </w:pPr>
      <w:r>
        <w:t>1.4 Constraints</w:t>
      </w:r>
    </w:p>
    <w:p>
      <w:r>
        <w:t>EMI/EMC: use conductive flanges, good electrical contact, correct screws and sound cable shielding. Avoid gaps at joints and keep the receiver feed away from digital switching circuits. Safety: microwave power should not be applied to an open or damaged waveguide. Use interlocks and a suitable power meter or detector; assess leakage using an appropriate RF survey instrument. SAR is generally not the main design metric for a closed radar feed, but exposure and leakage limits still apply. Environment: temperature changes can alter dimensions slightly, while moisture and corrosion can worsen joints. Use corrosion-resistant metal and protect the assembly from water.</w:t>
      </w:r>
    </w:p>
    <w:p>
      <w:pPr>
        <w:pStyle w:val="Heading1"/>
      </w:pPr>
      <w:r>
        <w:t>STAGE 2 – EVALUATE AND SELECT THE TRANSMISSION STRUCTURE</w:t>
      </w:r>
    </w:p>
    <w:p>
      <w:pPr>
        <w:pStyle w:val="Heading2"/>
      </w:pPr>
      <w:r>
        <w:t>2.1 Mode comparison</w:t>
      </w:r>
    </w:p>
    <w:tbl>
      <w:tblPr>
        <w:tblStyle w:val="LightShading-Accent1"/>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tcPr>
          <w:p>
            <w:r>
              <w:rPr>
                <w:sz w:val="17"/>
              </w:rPr>
              <w:t>Structure</w:t>
            </w:r>
          </w:p>
        </w:tc>
        <w:tc>
          <w:tcPr>
            <w:tcW w:type="dxa" w:w="2016"/>
            <w:vAlign w:val="center"/>
          </w:tcPr>
          <w:p>
            <w:r>
              <w:rPr>
                <w:sz w:val="17"/>
              </w:rPr>
              <w:t>Wave type / fields</w:t>
            </w:r>
          </w:p>
        </w:tc>
        <w:tc>
          <w:tcPr>
            <w:tcW w:type="dxa" w:w="2016"/>
            <w:vAlign w:val="center"/>
          </w:tcPr>
          <w:p>
            <w:r>
              <w:rPr>
                <w:sz w:val="17"/>
              </w:rPr>
              <w:t>Cutoff and dispersion</w:t>
            </w:r>
          </w:p>
        </w:tc>
        <w:tc>
          <w:tcPr>
            <w:tcW w:type="dxa" w:w="2016"/>
            <w:vAlign w:val="center"/>
          </w:tcPr>
          <w:p>
            <w:r>
              <w:rPr>
                <w:sz w:val="17"/>
              </w:rPr>
              <w:t>Main strengths</w:t>
            </w:r>
          </w:p>
        </w:tc>
        <w:tc>
          <w:tcPr>
            <w:tcW w:type="dxa" w:w="2016"/>
            <w:vAlign w:val="center"/>
          </w:tcPr>
          <w:p>
            <w:r>
              <w:rPr>
                <w:sz w:val="17"/>
              </w:rPr>
              <w:t>Main limitations</w:t>
            </w:r>
          </w:p>
        </w:tc>
      </w:tr>
      <w:tr>
        <w:tc>
          <w:tcPr>
            <w:tcW w:type="dxa" w:w="2016"/>
            <w:vAlign w:val="center"/>
          </w:tcPr>
          <w:p>
            <w:r>
              <w:rPr>
                <w:sz w:val="17"/>
              </w:rPr>
              <w:t>Coaxial line</w:t>
            </w:r>
          </w:p>
        </w:tc>
        <w:tc>
          <w:tcPr>
            <w:tcW w:type="dxa" w:w="2016"/>
            <w:vAlign w:val="center"/>
          </w:tcPr>
          <w:p>
            <w:r>
              <w:rPr>
                <w:sz w:val="17"/>
              </w:rPr>
              <w:t>TEM; E and H transverse to propagation</w:t>
            </w:r>
          </w:p>
        </w:tc>
        <w:tc>
          <w:tcPr>
            <w:tcW w:type="dxa" w:w="2016"/>
            <w:vAlign w:val="center"/>
          </w:tcPr>
          <w:p>
            <w:r>
              <w:rPr>
                <w:sz w:val="17"/>
              </w:rPr>
              <w:t>TEM has no cutoff; higher modes appear above a geometry-dependent limit</w:t>
            </w:r>
          </w:p>
        </w:tc>
        <w:tc>
          <w:tcPr>
            <w:tcW w:type="dxa" w:w="2016"/>
            <w:vAlign w:val="center"/>
          </w:tcPr>
          <w:p>
            <w:r>
              <w:rPr>
                <w:sz w:val="17"/>
              </w:rPr>
              <w:t>Flexible, easy connectors, good shielding</w:t>
            </w:r>
          </w:p>
        </w:tc>
        <w:tc>
          <w:tcPr>
            <w:tcW w:type="dxa" w:w="2016"/>
            <w:vAlign w:val="center"/>
          </w:tcPr>
          <w:p>
            <w:r>
              <w:rPr>
                <w:sz w:val="17"/>
              </w:rPr>
              <w:t>Loss can rise at high frequency; connector and dielectric losses</w:t>
            </w:r>
          </w:p>
        </w:tc>
      </w:tr>
      <w:tr>
        <w:tc>
          <w:tcPr>
            <w:tcW w:type="dxa" w:w="2016"/>
            <w:vAlign w:val="center"/>
          </w:tcPr>
          <w:p>
            <w:r>
              <w:rPr>
                <w:sz w:val="17"/>
              </w:rPr>
              <w:t>Rectangular waveguide</w:t>
            </w:r>
          </w:p>
        </w:tc>
        <w:tc>
          <w:tcPr>
            <w:tcW w:type="dxa" w:w="2016"/>
            <w:vAlign w:val="center"/>
          </w:tcPr>
          <w:p>
            <w:r>
              <w:rPr>
                <w:sz w:val="17"/>
              </w:rPr>
              <w:t>TE and TM; dominant mode TE₁₀</w:t>
            </w:r>
          </w:p>
        </w:tc>
        <w:tc>
          <w:tcPr>
            <w:tcW w:type="dxa" w:w="2016"/>
            <w:vAlign w:val="center"/>
          </w:tcPr>
          <w:p>
            <w:r>
              <w:rPr>
                <w:sz w:val="17"/>
              </w:rPr>
              <w:t>Has cutoff; dispersive near cutoff</w:t>
            </w:r>
          </w:p>
        </w:tc>
        <w:tc>
          <w:tcPr>
            <w:tcW w:type="dxa" w:w="2016"/>
            <w:vAlign w:val="center"/>
          </w:tcPr>
          <w:p>
            <w:r>
              <w:rPr>
                <w:sz w:val="17"/>
              </w:rPr>
              <w:t>Low loss and good power handling at microwave frequencies</w:t>
            </w:r>
          </w:p>
        </w:tc>
        <w:tc>
          <w:tcPr>
            <w:tcW w:type="dxa" w:w="2016"/>
            <w:vAlign w:val="center"/>
          </w:tcPr>
          <w:p>
            <w:r>
              <w:rPr>
                <w:sz w:val="17"/>
              </w:rPr>
              <w:t>Bulkier and requires flanges/transitions</w:t>
            </w:r>
          </w:p>
        </w:tc>
      </w:tr>
      <w:tr>
        <w:tc>
          <w:tcPr>
            <w:tcW w:type="dxa" w:w="2016"/>
            <w:vAlign w:val="center"/>
          </w:tcPr>
          <w:p>
            <w:r>
              <w:rPr>
                <w:sz w:val="17"/>
              </w:rPr>
              <w:t>Stripline</w:t>
            </w:r>
          </w:p>
        </w:tc>
        <w:tc>
          <w:tcPr>
            <w:tcW w:type="dxa" w:w="2016"/>
            <w:vAlign w:val="center"/>
          </w:tcPr>
          <w:p>
            <w:r>
              <w:rPr>
                <w:sz w:val="17"/>
              </w:rPr>
              <w:t>TEM in a uniform dielectric between ground planes</w:t>
            </w:r>
          </w:p>
        </w:tc>
        <w:tc>
          <w:tcPr>
            <w:tcW w:type="dxa" w:w="2016"/>
            <w:vAlign w:val="center"/>
          </w:tcPr>
          <w:p>
            <w:r>
              <w:rPr>
                <w:sz w:val="17"/>
              </w:rPr>
              <w:t>No ideal TEM cutoff; practical upper-frequency limits from discontinuities and losses</w:t>
            </w:r>
          </w:p>
        </w:tc>
        <w:tc>
          <w:tcPr>
            <w:tcW w:type="dxa" w:w="2016"/>
            <w:vAlign w:val="center"/>
          </w:tcPr>
          <w:p>
            <w:r>
              <w:rPr>
                <w:sz w:val="17"/>
              </w:rPr>
              <w:t>Well shielded and suitable for multilayer circuits</w:t>
            </w:r>
          </w:p>
        </w:tc>
        <w:tc>
          <w:tcPr>
            <w:tcW w:type="dxa" w:w="2016"/>
            <w:vAlign w:val="center"/>
          </w:tcPr>
          <w:p>
            <w:r>
              <w:rPr>
                <w:sz w:val="17"/>
              </w:rPr>
              <w:t>Fabrication and dielectric losses; less accessible for tuning</w:t>
            </w:r>
          </w:p>
        </w:tc>
      </w:tr>
      <w:tr>
        <w:tc>
          <w:tcPr>
            <w:tcW w:type="dxa" w:w="2016"/>
            <w:vAlign w:val="center"/>
          </w:tcPr>
          <w:p>
            <w:r>
              <w:rPr>
                <w:sz w:val="17"/>
              </w:rPr>
              <w:t>Microstrip</w:t>
            </w:r>
          </w:p>
        </w:tc>
        <w:tc>
          <w:tcPr>
            <w:tcW w:type="dxa" w:w="2016"/>
            <w:vAlign w:val="center"/>
          </w:tcPr>
          <w:p>
            <w:r>
              <w:rPr>
                <w:sz w:val="17"/>
              </w:rPr>
              <w:t>Quasi-TEM because fields occupy both substrate and air</w:t>
            </w:r>
          </w:p>
        </w:tc>
        <w:tc>
          <w:tcPr>
            <w:tcW w:type="dxa" w:w="2016"/>
            <w:vAlign w:val="center"/>
          </w:tcPr>
          <w:p>
            <w:r>
              <w:rPr>
                <w:sz w:val="17"/>
              </w:rPr>
              <w:t>Small dispersion and radiation can occur; no simple hollow-guide cutoff</w:t>
            </w:r>
          </w:p>
        </w:tc>
        <w:tc>
          <w:tcPr>
            <w:tcW w:type="dxa" w:w="2016"/>
            <w:vAlign w:val="center"/>
          </w:tcPr>
          <w:p>
            <w:r>
              <w:rPr>
                <w:sz w:val="17"/>
              </w:rPr>
              <w:t>Compact, inexpensive and easy to integrate with PCB circuits</w:t>
            </w:r>
          </w:p>
        </w:tc>
        <w:tc>
          <w:tcPr>
            <w:tcW w:type="dxa" w:w="2016"/>
            <w:vAlign w:val="center"/>
          </w:tcPr>
          <w:p>
            <w:r>
              <w:rPr>
                <w:sz w:val="17"/>
              </w:rPr>
              <w:t>More radiation and substrate sensitivity than stripline</w:t>
            </w:r>
          </w:p>
        </w:tc>
      </w:tr>
    </w:tbl>
    <w:p/>
    <w:p>
      <w:r>
        <w:t>Microstrip is called quasi-TEM because its electric field exists partly in the substrate and partly in air, which have different permittivities. The field is therefore not perfectly transverse everywhere and the wave is not a pure TEM mode. A hollow single-conductor waveguide cannot support TEM because TEM requires both electric and magnetic fields to be transverse and a non-zero voltage between at least two conductors; the hollow guide has only one connected conducting boundary. It instead supports TE and TM modes.</w:t>
      </w:r>
    </w:p>
    <w:p>
      <w:pPr>
        <w:pStyle w:val="Heading2"/>
      </w:pPr>
      <w:r>
        <w:t>2.2 Weighted decision matrix</w:t>
      </w:r>
    </w:p>
    <w:tbl>
      <w:tblPr>
        <w:tblStyle w:val="LightShading-Accent1"/>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tcPr>
          <w:p>
            <w:r>
              <w:rPr>
                <w:sz w:val="17"/>
              </w:rPr>
              <w:t>Criterion</w:t>
            </w:r>
          </w:p>
        </w:tc>
        <w:tc>
          <w:tcPr>
            <w:tcW w:type="dxa" w:w="2016"/>
            <w:vAlign w:val="center"/>
          </w:tcPr>
          <w:p>
            <w:r>
              <w:rPr>
                <w:sz w:val="17"/>
              </w:rPr>
              <w:t>Weight</w:t>
            </w:r>
          </w:p>
        </w:tc>
        <w:tc>
          <w:tcPr>
            <w:tcW w:type="dxa" w:w="2016"/>
            <w:vAlign w:val="center"/>
          </w:tcPr>
          <w:p>
            <w:r>
              <w:rPr>
                <w:sz w:val="17"/>
              </w:rPr>
              <w:t>Coax (score / 5)</w:t>
            </w:r>
          </w:p>
        </w:tc>
        <w:tc>
          <w:tcPr>
            <w:tcW w:type="dxa" w:w="2016"/>
            <w:vAlign w:val="center"/>
          </w:tcPr>
          <w:p>
            <w:r>
              <w:rPr>
                <w:sz w:val="17"/>
              </w:rPr>
              <w:t>Waveguide (score / 5)</w:t>
            </w:r>
          </w:p>
        </w:tc>
        <w:tc>
          <w:tcPr>
            <w:tcW w:type="dxa" w:w="2016"/>
            <w:vAlign w:val="center"/>
          </w:tcPr>
          <w:p>
            <w:r>
              <w:rPr>
                <w:sz w:val="17"/>
              </w:rPr>
              <w:t>Microstrip (score / 5)</w:t>
            </w:r>
          </w:p>
        </w:tc>
      </w:tr>
      <w:tr>
        <w:tc>
          <w:tcPr>
            <w:tcW w:type="dxa" w:w="2016"/>
            <w:vAlign w:val="center"/>
          </w:tcPr>
          <w:p>
            <w:r>
              <w:rPr>
                <w:sz w:val="17"/>
              </w:rPr>
              <w:t>Frequency/band suitability</w:t>
            </w:r>
          </w:p>
        </w:tc>
        <w:tc>
          <w:tcPr>
            <w:tcW w:type="dxa" w:w="2016"/>
            <w:vAlign w:val="center"/>
          </w:tcPr>
          <w:p>
            <w:r>
              <w:rPr>
                <w:sz w:val="17"/>
              </w:rPr>
              <w:t>20%</w:t>
            </w:r>
          </w:p>
        </w:tc>
        <w:tc>
          <w:tcPr>
            <w:tcW w:type="dxa" w:w="2016"/>
            <w:vAlign w:val="center"/>
          </w:tcPr>
          <w:p>
            <w:r>
              <w:rPr>
                <w:sz w:val="17"/>
              </w:rPr>
              <w:t>4</w:t>
            </w:r>
          </w:p>
        </w:tc>
        <w:tc>
          <w:tcPr>
            <w:tcW w:type="dxa" w:w="2016"/>
            <w:vAlign w:val="center"/>
          </w:tcPr>
          <w:p>
            <w:r>
              <w:rPr>
                <w:sz w:val="17"/>
              </w:rPr>
              <w:t>5</w:t>
            </w:r>
          </w:p>
        </w:tc>
        <w:tc>
          <w:tcPr>
            <w:tcW w:type="dxa" w:w="2016"/>
            <w:vAlign w:val="center"/>
          </w:tcPr>
          <w:p>
            <w:r>
              <w:rPr>
                <w:sz w:val="17"/>
              </w:rPr>
              <w:t>4</w:t>
            </w:r>
          </w:p>
        </w:tc>
      </w:tr>
      <w:tr>
        <w:tc>
          <w:tcPr>
            <w:tcW w:type="dxa" w:w="2016"/>
            <w:vAlign w:val="center"/>
          </w:tcPr>
          <w:p>
            <w:r>
              <w:rPr>
                <w:sz w:val="17"/>
              </w:rPr>
              <w:t>Low loss</w:t>
            </w:r>
          </w:p>
        </w:tc>
        <w:tc>
          <w:tcPr>
            <w:tcW w:type="dxa" w:w="2016"/>
            <w:vAlign w:val="center"/>
          </w:tcPr>
          <w:p>
            <w:r>
              <w:rPr>
                <w:sz w:val="17"/>
              </w:rPr>
              <w:t>20%</w:t>
            </w:r>
          </w:p>
        </w:tc>
        <w:tc>
          <w:tcPr>
            <w:tcW w:type="dxa" w:w="2016"/>
            <w:vAlign w:val="center"/>
          </w:tcPr>
          <w:p>
            <w:r>
              <w:rPr>
                <w:sz w:val="17"/>
              </w:rPr>
              <w:t>3</w:t>
            </w:r>
          </w:p>
        </w:tc>
        <w:tc>
          <w:tcPr>
            <w:tcW w:type="dxa" w:w="2016"/>
            <w:vAlign w:val="center"/>
          </w:tcPr>
          <w:p>
            <w:r>
              <w:rPr>
                <w:sz w:val="17"/>
              </w:rPr>
              <w:t>5</w:t>
            </w:r>
          </w:p>
        </w:tc>
        <w:tc>
          <w:tcPr>
            <w:tcW w:type="dxa" w:w="2016"/>
            <w:vAlign w:val="center"/>
          </w:tcPr>
          <w:p>
            <w:r>
              <w:rPr>
                <w:sz w:val="17"/>
              </w:rPr>
              <w:t>3</w:t>
            </w:r>
          </w:p>
        </w:tc>
      </w:tr>
      <w:tr>
        <w:tc>
          <w:tcPr>
            <w:tcW w:type="dxa" w:w="2016"/>
            <w:vAlign w:val="center"/>
          </w:tcPr>
          <w:p>
            <w:r>
              <w:rPr>
                <w:sz w:val="17"/>
              </w:rPr>
              <w:t>Power handling</w:t>
            </w:r>
          </w:p>
        </w:tc>
        <w:tc>
          <w:tcPr>
            <w:tcW w:type="dxa" w:w="2016"/>
            <w:vAlign w:val="center"/>
          </w:tcPr>
          <w:p>
            <w:r>
              <w:rPr>
                <w:sz w:val="17"/>
              </w:rPr>
              <w:t>15%</w:t>
            </w:r>
          </w:p>
        </w:tc>
        <w:tc>
          <w:tcPr>
            <w:tcW w:type="dxa" w:w="2016"/>
            <w:vAlign w:val="center"/>
          </w:tcPr>
          <w:p>
            <w:r>
              <w:rPr>
                <w:sz w:val="17"/>
              </w:rPr>
              <w:t>3</w:t>
            </w:r>
          </w:p>
        </w:tc>
        <w:tc>
          <w:tcPr>
            <w:tcW w:type="dxa" w:w="2016"/>
            <w:vAlign w:val="center"/>
          </w:tcPr>
          <w:p>
            <w:r>
              <w:rPr>
                <w:sz w:val="17"/>
              </w:rPr>
              <w:t>5</w:t>
            </w:r>
          </w:p>
        </w:tc>
        <w:tc>
          <w:tcPr>
            <w:tcW w:type="dxa" w:w="2016"/>
            <w:vAlign w:val="center"/>
          </w:tcPr>
          <w:p>
            <w:r>
              <w:rPr>
                <w:sz w:val="17"/>
              </w:rPr>
              <w:t>2</w:t>
            </w:r>
          </w:p>
        </w:tc>
      </w:tr>
      <w:tr>
        <w:tc>
          <w:tcPr>
            <w:tcW w:type="dxa" w:w="2016"/>
            <w:vAlign w:val="center"/>
          </w:tcPr>
          <w:p>
            <w:r>
              <w:rPr>
                <w:sz w:val="17"/>
              </w:rPr>
              <w:t>Size and weight</w:t>
            </w:r>
          </w:p>
        </w:tc>
        <w:tc>
          <w:tcPr>
            <w:tcW w:type="dxa" w:w="2016"/>
            <w:vAlign w:val="center"/>
          </w:tcPr>
          <w:p>
            <w:r>
              <w:rPr>
                <w:sz w:val="17"/>
              </w:rPr>
              <w:t>10%</w:t>
            </w:r>
          </w:p>
        </w:tc>
        <w:tc>
          <w:tcPr>
            <w:tcW w:type="dxa" w:w="2016"/>
            <w:vAlign w:val="center"/>
          </w:tcPr>
          <w:p>
            <w:r>
              <w:rPr>
                <w:sz w:val="17"/>
              </w:rPr>
              <w:t>5</w:t>
            </w:r>
          </w:p>
        </w:tc>
        <w:tc>
          <w:tcPr>
            <w:tcW w:type="dxa" w:w="2016"/>
            <w:vAlign w:val="center"/>
          </w:tcPr>
          <w:p>
            <w:r>
              <w:rPr>
                <w:sz w:val="17"/>
              </w:rPr>
              <w:t>2</w:t>
            </w:r>
          </w:p>
        </w:tc>
        <w:tc>
          <w:tcPr>
            <w:tcW w:type="dxa" w:w="2016"/>
            <w:vAlign w:val="center"/>
          </w:tcPr>
          <w:p>
            <w:r>
              <w:rPr>
                <w:sz w:val="17"/>
              </w:rPr>
              <w:t>5</w:t>
            </w:r>
          </w:p>
        </w:tc>
      </w:tr>
      <w:tr>
        <w:tc>
          <w:tcPr>
            <w:tcW w:type="dxa" w:w="2016"/>
            <w:vAlign w:val="center"/>
          </w:tcPr>
          <w:p>
            <w:r>
              <w:rPr>
                <w:sz w:val="17"/>
              </w:rPr>
              <w:t>Cost</w:t>
            </w:r>
          </w:p>
        </w:tc>
        <w:tc>
          <w:tcPr>
            <w:tcW w:type="dxa" w:w="2016"/>
            <w:vAlign w:val="center"/>
          </w:tcPr>
          <w:p>
            <w:r>
              <w:rPr>
                <w:sz w:val="17"/>
              </w:rPr>
              <w:t>10%</w:t>
            </w:r>
          </w:p>
        </w:tc>
        <w:tc>
          <w:tcPr>
            <w:tcW w:type="dxa" w:w="2016"/>
            <w:vAlign w:val="center"/>
          </w:tcPr>
          <w:p>
            <w:r>
              <w:rPr>
                <w:sz w:val="17"/>
              </w:rPr>
              <w:t>4</w:t>
            </w:r>
          </w:p>
        </w:tc>
        <w:tc>
          <w:tcPr>
            <w:tcW w:type="dxa" w:w="2016"/>
            <w:vAlign w:val="center"/>
          </w:tcPr>
          <w:p>
            <w:r>
              <w:rPr>
                <w:sz w:val="17"/>
              </w:rPr>
              <w:t>3</w:t>
            </w:r>
          </w:p>
        </w:tc>
        <w:tc>
          <w:tcPr>
            <w:tcW w:type="dxa" w:w="2016"/>
            <w:vAlign w:val="center"/>
          </w:tcPr>
          <w:p>
            <w:r>
              <w:rPr>
                <w:sz w:val="17"/>
              </w:rPr>
              <w:t>5</w:t>
            </w:r>
          </w:p>
        </w:tc>
      </w:tr>
      <w:tr>
        <w:tc>
          <w:tcPr>
            <w:tcW w:type="dxa" w:w="2016"/>
            <w:vAlign w:val="center"/>
          </w:tcPr>
          <w:p>
            <w:r>
              <w:rPr>
                <w:sz w:val="17"/>
              </w:rPr>
              <w:t>Shielding / EMI</w:t>
            </w:r>
          </w:p>
        </w:tc>
        <w:tc>
          <w:tcPr>
            <w:tcW w:type="dxa" w:w="2016"/>
            <w:vAlign w:val="center"/>
          </w:tcPr>
          <w:p>
            <w:r>
              <w:rPr>
                <w:sz w:val="17"/>
              </w:rPr>
              <w:t>10%</w:t>
            </w:r>
          </w:p>
        </w:tc>
        <w:tc>
          <w:tcPr>
            <w:tcW w:type="dxa" w:w="2016"/>
            <w:vAlign w:val="center"/>
          </w:tcPr>
          <w:p>
            <w:r>
              <w:rPr>
                <w:sz w:val="17"/>
              </w:rPr>
              <w:t>4</w:t>
            </w:r>
          </w:p>
        </w:tc>
        <w:tc>
          <w:tcPr>
            <w:tcW w:type="dxa" w:w="2016"/>
            <w:vAlign w:val="center"/>
          </w:tcPr>
          <w:p>
            <w:r>
              <w:rPr>
                <w:sz w:val="17"/>
              </w:rPr>
              <w:t>5</w:t>
            </w:r>
          </w:p>
        </w:tc>
        <w:tc>
          <w:tcPr>
            <w:tcW w:type="dxa" w:w="2016"/>
            <w:vAlign w:val="center"/>
          </w:tcPr>
          <w:p>
            <w:r>
              <w:rPr>
                <w:sz w:val="17"/>
              </w:rPr>
              <w:t>2</w:t>
            </w:r>
          </w:p>
        </w:tc>
      </w:tr>
      <w:tr>
        <w:tc>
          <w:tcPr>
            <w:tcW w:type="dxa" w:w="2016"/>
            <w:vAlign w:val="center"/>
          </w:tcPr>
          <w:p>
            <w:r>
              <w:rPr>
                <w:sz w:val="17"/>
              </w:rPr>
              <w:t>Integration and assembly</w:t>
            </w:r>
          </w:p>
        </w:tc>
        <w:tc>
          <w:tcPr>
            <w:tcW w:type="dxa" w:w="2016"/>
            <w:vAlign w:val="center"/>
          </w:tcPr>
          <w:p>
            <w:r>
              <w:rPr>
                <w:sz w:val="17"/>
              </w:rPr>
              <w:t>15%</w:t>
            </w:r>
          </w:p>
        </w:tc>
        <w:tc>
          <w:tcPr>
            <w:tcW w:type="dxa" w:w="2016"/>
            <w:vAlign w:val="center"/>
          </w:tcPr>
          <w:p>
            <w:r>
              <w:rPr>
                <w:sz w:val="17"/>
              </w:rPr>
              <w:t>5</w:t>
            </w:r>
          </w:p>
        </w:tc>
        <w:tc>
          <w:tcPr>
            <w:tcW w:type="dxa" w:w="2016"/>
            <w:vAlign w:val="center"/>
          </w:tcPr>
          <w:p>
            <w:r>
              <w:rPr>
                <w:sz w:val="17"/>
              </w:rPr>
              <w:t>3</w:t>
            </w:r>
          </w:p>
        </w:tc>
        <w:tc>
          <w:tcPr>
            <w:tcW w:type="dxa" w:w="2016"/>
            <w:vAlign w:val="center"/>
          </w:tcPr>
          <w:p>
            <w:r>
              <w:rPr>
                <w:sz w:val="17"/>
              </w:rPr>
              <w:t>5</w:t>
            </w:r>
          </w:p>
        </w:tc>
      </w:tr>
      <w:tr>
        <w:tc>
          <w:tcPr>
            <w:tcW w:type="dxa" w:w="2016"/>
            <w:vAlign w:val="center"/>
          </w:tcPr>
          <w:p>
            <w:r>
              <w:rPr>
                <w:sz w:val="17"/>
              </w:rPr>
              <w:t>Weighted total (out of 5)</w:t>
            </w:r>
          </w:p>
        </w:tc>
        <w:tc>
          <w:tcPr>
            <w:tcW w:type="dxa" w:w="2016"/>
            <w:vAlign w:val="center"/>
          </w:tcPr>
          <w:p>
            <w:r>
              <w:rPr>
                <w:sz w:val="17"/>
              </w:rPr>
              <w:t>100%</w:t>
            </w:r>
          </w:p>
        </w:tc>
        <w:tc>
          <w:tcPr>
            <w:tcW w:type="dxa" w:w="2016"/>
            <w:vAlign w:val="center"/>
          </w:tcPr>
          <w:p>
            <w:r>
              <w:rPr>
                <w:sz w:val="17"/>
              </w:rPr>
              <w:t>3.90</w:t>
            </w:r>
          </w:p>
        </w:tc>
        <w:tc>
          <w:tcPr>
            <w:tcW w:type="dxa" w:w="2016"/>
            <w:vAlign w:val="center"/>
          </w:tcPr>
          <w:p>
            <w:r>
              <w:rPr>
                <w:sz w:val="17"/>
              </w:rPr>
              <w:t>4.15</w:t>
            </w:r>
          </w:p>
        </w:tc>
        <w:tc>
          <w:tcPr>
            <w:tcW w:type="dxa" w:w="2016"/>
            <w:vAlign w:val="center"/>
          </w:tcPr>
          <w:p>
            <w:r>
              <w:rPr>
                <w:sz w:val="17"/>
              </w:rPr>
              <w:t>3.70</w:t>
            </w:r>
          </w:p>
        </w:tc>
      </w:tr>
    </w:tbl>
    <w:p/>
    <w:p>
      <w:r>
        <w:t>Weighted score = sum of (criterion weight × score). The waveguide is selected with 4.15/5, mainly because low loss, power handling and shielding are important for a radar feed. Coax is the strongest alternative because it is compact and easy to connect. If low cost and board integration received much higher weights, microstrip could rank first. If the operating frequency were reduced by a factor of two, the waveguide would operate below the TE₁₀ cutoff and would not carry the intended propagating mode; coax or a suitable lower-frequency guide would be preferable. If frequency doubled to 20 GHz, higher modes would propagate in WR-90, so a smaller waveguide or a different structure would be needed.</w:t>
      </w:r>
    </w:p>
    <w:p>
      <w:r>
        <w:t>Design Decision 1: For the 10 GHz radar feed, I select a WR-90 rectangular waveguide over coaxial line because it provides lower loss and better power handling at X band. Coax remains useful for the instrument connections, but the main feed is the waveguide.</w:t>
      </w:r>
    </w:p>
    <w:p>
      <w:pPr>
        <w:pStyle w:val="Heading1"/>
      </w:pPr>
      <w:r>
        <w:t>STAGE 3 – DEVELOP THE MODE AND PROPAGATION MODEL</w:t>
      </w:r>
    </w:p>
    <w:p>
      <w:pPr>
        <w:pStyle w:val="Heading2"/>
      </w:pPr>
      <w:r>
        <w:t>3.1 Transmission-line equations</w:t>
      </w:r>
    </w:p>
    <w:p>
      <w:r>
        <w:t>For a uniform line, R, L, G and C are the resistance, inductance, conductance and capacitance per unit length. The telegrapher’s equations are ∂V/∂z = −(R + jωL)I and ∂I/∂z = −(G + jωC)V. Combining them gives ∂²V/∂z² = γ²V and ∂²I/∂z² = γ²I, where γ = α + jβ = √[(R + jωL)(G + jωC)]. For a low-loss line, α ≈ R/(2Z₀) + GZ₀/2 and β ≈ ω√(LC). The characteristic impedance is Z₀ = √[(R+jωL)/(G+jωC)]. The voltage reflection coefficient at a load is Γ = (ZL−Z₀)/(ZL+Z₀).</w:t>
      </w:r>
    </w:p>
    <w:p>
      <w:r>
        <w:t>A waveguide is not a simple TEM line, but an equivalent transmission-line model can still be used for its propagating mode. For a TE mode, the modal wave impedance is Z_TE = ωμ/β = η₀/√[1−(fc/f)²].</w:t>
      </w:r>
    </w:p>
    <w:p>
      <w:pPr>
        <w:pStyle w:val="Heading2"/>
      </w:pPr>
      <w:r>
        <w:t>3.2 Rectangular waveguide mode equations</w:t>
      </w:r>
    </w:p>
    <w:p>
      <w:r>
        <w:t>Assumptions: a and b are uniform; the guide is air-filled; the walls are treated as perfect conductors for the first propagation calculation; fields vary sinusoidally with time; and the guide is straight with no discontinuities. For a rectangular guide, the cutoff frequency is f_c(mn) = (c/2)√[(m/a)²+(n/b)²]. For TE₁₀, m=1 and n=0, so f_c10 = c/(2a). Above cutoff, β = k₀√[1−(fc/f)²], where k₀=2πf/c. The guide wavelength is λg=2π/β. Phase velocity vp=ω/β and group velocity vg=c²/vp for an air-filled guide.</w:t>
      </w:r>
    </w:p>
    <w:p>
      <w:r>
        <w:t>For the dominant TE₁₀ mode, Ez=0 and the longitudinal magnetic field is zero (Hz=0 for TE₁₀ because n=0); the principal electric field is transverse and varies across the broad dimension as sin(πx/a). The field is zero at the conducting side walls and reaches a maximum near the centre. TE modes have Ez=0, while TM modes have Hz=0 and a non-zero longitudinal electric field. A hollow waveguide has no TEM mode.</w:t>
      </w:r>
    </w:p>
    <w:p>
      <w:pPr>
        <w:pStyle w:val="Heading2"/>
      </w:pPr>
      <w:r>
        <w:t>3.3 Cutoff and propagation calculations</w:t>
      </w:r>
    </w:p>
    <w:p>
      <w:r>
        <w:t>Given: a = 22.86 mm = 0.02286 m; b = 10.16 mm = 0.01016 m; f = 10 GHz; c = 2.9979 × 10⁸ m/s; η₀ ≈ 376.7 Ω.</w:t>
      </w:r>
    </w:p>
    <w:p>
      <w:r>
        <w:t>TE₁₀ cutoff: fc10 = c/(2a) = 2.9979×10⁸/[2(0.02286)] = 6.557 GHz.</w:t>
      </w:r>
    </w:p>
    <w:p>
      <w:r>
        <w:t>TE₂₀ cutoff: fc20 = c/a = 13.114 GHz. TE₀₁ cutoff: fc01 = c/(2b) = 14.754 GHz. TM₁₁ cutoff: fc11 = (c/2)√[(1/a)²+(1/b)²] = 16.145 GHz.</w:t>
      </w:r>
    </w:p>
    <w:p>
      <w:r>
        <w:t>Therefore the first higher-order mode is TE₂₀ at about 13.114 GHz, and the theoretical single-mode range is 6.557–13.114 GHz. The selected 9.5–10.5 GHz band is inside this range.</w:t>
      </w:r>
    </w:p>
    <w:p>
      <w:r>
        <w:t>At 10 GHz, λ₀ = c/f = 29.98 mm. β = (2π/λ₀)√[1−(6.557/10)²] = 158.24 rad/m. λg = 2π/β = 39.71 mm. vp = 2πf/β = 3.971×10⁸ m/s. vg = c²/vp = 2.263×10⁸ m/s. ZTE = 376.7/√[1−(6.557/10)²] ≈ 499 Ω. The phase velocity exceeds c, which does not mean information travels faster than light; the group velocity remains below c.</w:t>
      </w:r>
    </w:p>
    <w:tbl>
      <w:tblPr>
        <w:tblStyle w:val="LightShading-Accent1"/>
        <w:tblW w:type="auto" w:w="0"/>
        <w:jc w:val="center"/>
        <w:tblLook w:firstColumn="1" w:firstRow="1" w:lastColumn="0" w:lastRow="0" w:noHBand="0" w:noVBand="1" w:val="04A0"/>
      </w:tblPr>
      <w:tblGrid>
        <w:gridCol w:w="5040"/>
        <w:gridCol w:w="5040"/>
      </w:tblGrid>
      <w:tr>
        <w:tc>
          <w:tcPr>
            <w:tcW w:type="dxa" w:w="5040"/>
            <w:vAlign w:val="center"/>
          </w:tcPr>
          <w:p>
            <w:r>
              <w:rPr>
                <w:sz w:val="17"/>
              </w:rPr>
              <w:t>Parameter</w:t>
            </w:r>
          </w:p>
        </w:tc>
        <w:tc>
          <w:tcPr>
            <w:tcW w:type="dxa" w:w="5040"/>
            <w:vAlign w:val="center"/>
          </w:tcPr>
          <w:p>
            <w:r>
              <w:rPr>
                <w:sz w:val="17"/>
              </w:rPr>
              <w:t>Calculated value</w:t>
            </w:r>
          </w:p>
        </w:tc>
      </w:tr>
      <w:tr>
        <w:tc>
          <w:tcPr>
            <w:tcW w:type="dxa" w:w="5040"/>
            <w:vAlign w:val="center"/>
          </w:tcPr>
          <w:p>
            <w:r>
              <w:rPr>
                <w:sz w:val="17"/>
              </w:rPr>
              <w:t>a × b</w:t>
            </w:r>
          </w:p>
        </w:tc>
        <w:tc>
          <w:tcPr>
            <w:tcW w:type="dxa" w:w="5040"/>
            <w:vAlign w:val="center"/>
          </w:tcPr>
          <w:p>
            <w:r>
              <w:rPr>
                <w:sz w:val="17"/>
              </w:rPr>
              <w:t>22.86 mm × 10.16 mm</w:t>
            </w:r>
          </w:p>
        </w:tc>
      </w:tr>
      <w:tr>
        <w:tc>
          <w:tcPr>
            <w:tcW w:type="dxa" w:w="5040"/>
            <w:vAlign w:val="center"/>
          </w:tcPr>
          <w:p>
            <w:r>
              <w:rPr>
                <w:sz w:val="17"/>
              </w:rPr>
              <w:t>TE₁₀ cutoff</w:t>
            </w:r>
          </w:p>
        </w:tc>
        <w:tc>
          <w:tcPr>
            <w:tcW w:type="dxa" w:w="5040"/>
            <w:vAlign w:val="center"/>
          </w:tcPr>
          <w:p>
            <w:r>
              <w:rPr>
                <w:sz w:val="17"/>
              </w:rPr>
              <w:t>6.557 GHz</w:t>
            </w:r>
          </w:p>
        </w:tc>
      </w:tr>
      <w:tr>
        <w:tc>
          <w:tcPr>
            <w:tcW w:type="dxa" w:w="5040"/>
            <w:vAlign w:val="center"/>
          </w:tcPr>
          <w:p>
            <w:r>
              <w:rPr>
                <w:sz w:val="17"/>
              </w:rPr>
              <w:t>First higher mode, TE₂₀ cutoff</w:t>
            </w:r>
          </w:p>
        </w:tc>
        <w:tc>
          <w:tcPr>
            <w:tcW w:type="dxa" w:w="5040"/>
            <w:vAlign w:val="center"/>
          </w:tcPr>
          <w:p>
            <w:r>
              <w:rPr>
                <w:sz w:val="17"/>
              </w:rPr>
              <w:t>13.114 GHz</w:t>
            </w:r>
          </w:p>
        </w:tc>
      </w:tr>
      <w:tr>
        <w:tc>
          <w:tcPr>
            <w:tcW w:type="dxa" w:w="5040"/>
            <w:vAlign w:val="center"/>
          </w:tcPr>
          <w:p>
            <w:r>
              <w:rPr>
                <w:sz w:val="17"/>
              </w:rPr>
              <w:t>TM₁₁ cutoff</w:t>
            </w:r>
          </w:p>
        </w:tc>
        <w:tc>
          <w:tcPr>
            <w:tcW w:type="dxa" w:w="5040"/>
            <w:vAlign w:val="center"/>
          </w:tcPr>
          <w:p>
            <w:r>
              <w:rPr>
                <w:sz w:val="17"/>
              </w:rPr>
              <w:t>16.145 GHz</w:t>
            </w:r>
          </w:p>
        </w:tc>
      </w:tr>
      <w:tr>
        <w:tc>
          <w:tcPr>
            <w:tcW w:type="dxa" w:w="5040"/>
            <w:vAlign w:val="center"/>
          </w:tcPr>
          <w:p>
            <w:r>
              <w:rPr>
                <w:sz w:val="17"/>
              </w:rPr>
              <w:t>Free-space wavelength at 10 GHz</w:t>
            </w:r>
          </w:p>
        </w:tc>
        <w:tc>
          <w:tcPr>
            <w:tcW w:type="dxa" w:w="5040"/>
            <w:vAlign w:val="center"/>
          </w:tcPr>
          <w:p>
            <w:r>
              <w:rPr>
                <w:sz w:val="17"/>
              </w:rPr>
              <w:t>29.98 mm</w:t>
            </w:r>
          </w:p>
        </w:tc>
      </w:tr>
      <w:tr>
        <w:tc>
          <w:tcPr>
            <w:tcW w:type="dxa" w:w="5040"/>
            <w:vAlign w:val="center"/>
          </w:tcPr>
          <w:p>
            <w:r>
              <w:rPr>
                <w:sz w:val="17"/>
              </w:rPr>
              <w:t>Guide wavelength</w:t>
            </w:r>
          </w:p>
        </w:tc>
        <w:tc>
          <w:tcPr>
            <w:tcW w:type="dxa" w:w="5040"/>
            <w:vAlign w:val="center"/>
          </w:tcPr>
          <w:p>
            <w:r>
              <w:rPr>
                <w:sz w:val="17"/>
              </w:rPr>
              <w:t>39.71 mm</w:t>
            </w:r>
          </w:p>
        </w:tc>
      </w:tr>
      <w:tr>
        <w:tc>
          <w:tcPr>
            <w:tcW w:type="dxa" w:w="5040"/>
            <w:vAlign w:val="center"/>
          </w:tcPr>
          <w:p>
            <w:r>
              <w:rPr>
                <w:sz w:val="17"/>
              </w:rPr>
              <w:t>Phase constant β</w:t>
            </w:r>
          </w:p>
        </w:tc>
        <w:tc>
          <w:tcPr>
            <w:tcW w:type="dxa" w:w="5040"/>
            <w:vAlign w:val="center"/>
          </w:tcPr>
          <w:p>
            <w:r>
              <w:rPr>
                <w:sz w:val="17"/>
              </w:rPr>
              <w:t>158.24 rad/m</w:t>
            </w:r>
          </w:p>
        </w:tc>
      </w:tr>
      <w:tr>
        <w:tc>
          <w:tcPr>
            <w:tcW w:type="dxa" w:w="5040"/>
            <w:vAlign w:val="center"/>
          </w:tcPr>
          <w:p>
            <w:r>
              <w:rPr>
                <w:sz w:val="17"/>
              </w:rPr>
              <w:t>Phase velocity vp</w:t>
            </w:r>
          </w:p>
        </w:tc>
        <w:tc>
          <w:tcPr>
            <w:tcW w:type="dxa" w:w="5040"/>
            <w:vAlign w:val="center"/>
          </w:tcPr>
          <w:p>
            <w:r>
              <w:rPr>
                <w:sz w:val="17"/>
              </w:rPr>
              <w:t>3.971 × 10⁸ m/s</w:t>
            </w:r>
          </w:p>
        </w:tc>
      </w:tr>
      <w:tr>
        <w:tc>
          <w:tcPr>
            <w:tcW w:type="dxa" w:w="5040"/>
            <w:vAlign w:val="center"/>
          </w:tcPr>
          <w:p>
            <w:r>
              <w:rPr>
                <w:sz w:val="17"/>
              </w:rPr>
              <w:t>Group velocity vg</w:t>
            </w:r>
          </w:p>
        </w:tc>
        <w:tc>
          <w:tcPr>
            <w:tcW w:type="dxa" w:w="5040"/>
            <w:vAlign w:val="center"/>
          </w:tcPr>
          <w:p>
            <w:r>
              <w:rPr>
                <w:sz w:val="17"/>
              </w:rPr>
              <w:t>2.263 × 10⁸ m/s</w:t>
            </w:r>
          </w:p>
        </w:tc>
      </w:tr>
      <w:tr>
        <w:tc>
          <w:tcPr>
            <w:tcW w:type="dxa" w:w="5040"/>
            <w:vAlign w:val="center"/>
          </w:tcPr>
          <w:p>
            <w:r>
              <w:rPr>
                <w:sz w:val="17"/>
              </w:rPr>
              <w:t>TE modal impedance</w:t>
            </w:r>
          </w:p>
        </w:tc>
        <w:tc>
          <w:tcPr>
            <w:tcW w:type="dxa" w:w="5040"/>
            <w:vAlign w:val="center"/>
          </w:tcPr>
          <w:p>
            <w:r>
              <w:rPr>
                <w:sz w:val="17"/>
              </w:rPr>
              <w:t>≈ 499 Ω</w:t>
            </w:r>
          </w:p>
        </w:tc>
      </w:tr>
      <w:tr>
        <w:tc>
          <w:tcPr>
            <w:tcW w:type="dxa" w:w="5040"/>
            <w:vAlign w:val="center"/>
          </w:tcPr>
          <w:p>
            <w:r>
              <w:rPr>
                <w:sz w:val="17"/>
              </w:rPr>
              <w:t>Group delay per metre, 1/vg</w:t>
            </w:r>
          </w:p>
        </w:tc>
        <w:tc>
          <w:tcPr>
            <w:tcW w:type="dxa" w:w="5040"/>
            <w:vAlign w:val="center"/>
          </w:tcPr>
          <w:p>
            <w:r>
              <w:rPr>
                <w:sz w:val="17"/>
              </w:rPr>
              <w:t>≈ 4.42 ns/m</w:t>
            </w:r>
          </w:p>
        </w:tc>
      </w:tr>
    </w:tbl>
    <w:p/>
    <w:p>
      <w:r>
        <w:t>Higher-order modes can be excited by abrupt bends, poor flanges or an off-centre transition even when the main frequency is below their cutoff; these modes then decay evanescently. Keep transitions smooth, align the flange and avoid abrupt geometry changes. A ±5% error in a changes fc10 inversely: a +5% width gives about 6.245 GHz and a −5% width gives about 6.902 GHz. Both remain below 9.5 GHz, although the full margin should be checked with the actual manufacturing tolerance.</w:t>
      </w:r>
    </w:p>
    <w:p>
      <w:r>
        <w:t>Design Decision 2: The dominant mode is TE₁₀ with a cutoff frequency of 6.557 GHz. The single-mode range is approximately 6.557–13.114 GHz. The WR-90 dimensions are acceptable for 9.5–10.5 GHz because the intended mode propagates and the first higher mode remains above the operating band.</w:t>
      </w:r>
    </w:p>
    <w:p>
      <w:pPr>
        <w:pStyle w:val="Heading1"/>
      </w:pPr>
      <w:r>
        <w:t>STAGE 4 – EVALUATE LOSSES AND DESIGN A LOSS-REDUCTION STRATEGY</w:t>
      </w:r>
    </w:p>
    <w:p>
      <w:pPr>
        <w:pStyle w:val="Heading2"/>
      </w:pPr>
      <w:r>
        <w:t>4.1 Loss mechanisms and worked calculations</w:t>
      </w:r>
    </w:p>
    <w:p>
      <w:r>
        <w:t>Total loss includes conductor loss in the metal walls, dielectric loss in any filling material, radiation loss at discontinuities, connector/transition loss and mismatch loss. For the air-filled guide, dielectric loss in the guide section is very small; transitions and wall conductivity are more important. Skin depth is δ = √[2/(ωμσ)] and surface resistance is Rs = √(πfμ/σ). For copper at 10 GHz, using σ = 5.8×10⁷ S/m, δ ≈ 0.66 μm and Rs ≈ 0.026 Ω.</w:t>
      </w:r>
    </w:p>
    <w:p>
      <w:r>
        <w:t>For a simple dielectric-filled transmission line, a common low-loss estimate is αd ≈ (β tanδd)/2, where tanδd is dielectric loss tangent. For the air-filled waveguide, there is no solid dielectric substrate in the guide volume, so this contribution is treated as negligible in this first estimate. This formula is not a substitute for the full rectangular-waveguide conductor-loss formula; accurate wall attenuation should be calculated with a validated waveguide formula or EM simulator using the actual metal conductivity and surface roughness.</w:t>
      </w:r>
    </w:p>
    <w:tbl>
      <w:tblPr>
        <w:tblStyle w:val="LightShading-Accent1"/>
        <w:tblW w:type="auto" w:w="0"/>
        <w:jc w:val="center"/>
        <w:tblLook w:firstColumn="1" w:firstRow="1" w:lastColumn="0" w:lastRow="0" w:noHBand="0" w:noVBand="1" w:val="04A0"/>
      </w:tblPr>
      <w:tblGrid>
        <w:gridCol w:w="2520"/>
        <w:gridCol w:w="2520"/>
        <w:gridCol w:w="2520"/>
        <w:gridCol w:w="2520"/>
      </w:tblGrid>
      <w:tr>
        <w:tc>
          <w:tcPr>
            <w:tcW w:type="dxa" w:w="2520"/>
            <w:vAlign w:val="center"/>
          </w:tcPr>
          <w:p>
            <w:r>
              <w:rPr>
                <w:sz w:val="17"/>
              </w:rPr>
              <w:t>Loss component</w:t>
            </w:r>
          </w:p>
        </w:tc>
        <w:tc>
          <w:tcPr>
            <w:tcW w:type="dxa" w:w="2520"/>
            <w:vAlign w:val="center"/>
          </w:tcPr>
          <w:p>
            <w:r>
              <w:rPr>
                <w:sz w:val="17"/>
              </w:rPr>
              <w:t>Initial design estimate (dB/m)</w:t>
            </w:r>
          </w:p>
        </w:tc>
        <w:tc>
          <w:tcPr>
            <w:tcW w:type="dxa" w:w="2520"/>
            <w:vAlign w:val="center"/>
          </w:tcPr>
          <w:p>
            <w:r>
              <w:rPr>
                <w:sz w:val="17"/>
              </w:rPr>
              <w:t>Improved design estimate (dB/m)</w:t>
            </w:r>
          </w:p>
        </w:tc>
        <w:tc>
          <w:tcPr>
            <w:tcW w:type="dxa" w:w="2520"/>
            <w:vAlign w:val="center"/>
          </w:tcPr>
          <w:p>
            <w:r>
              <w:rPr>
                <w:sz w:val="17"/>
              </w:rPr>
              <w:t>Remarks</w:t>
            </w:r>
          </w:p>
        </w:tc>
      </w:tr>
      <w:tr>
        <w:tc>
          <w:tcPr>
            <w:tcW w:type="dxa" w:w="2520"/>
            <w:vAlign w:val="center"/>
          </w:tcPr>
          <w:p>
            <w:r>
              <w:rPr>
                <w:sz w:val="17"/>
              </w:rPr>
              <w:t>Conductor loss</w:t>
            </w:r>
          </w:p>
        </w:tc>
        <w:tc>
          <w:tcPr>
            <w:tcW w:type="dxa" w:w="2520"/>
            <w:vAlign w:val="center"/>
          </w:tcPr>
          <w:p>
            <w:r>
              <w:rPr>
                <w:sz w:val="17"/>
              </w:rPr>
              <w:t>0.08</w:t>
            </w:r>
          </w:p>
        </w:tc>
        <w:tc>
          <w:tcPr>
            <w:tcW w:type="dxa" w:w="2520"/>
            <w:vAlign w:val="center"/>
          </w:tcPr>
          <w:p>
            <w:r>
              <w:rPr>
                <w:sz w:val="17"/>
              </w:rPr>
              <w:t>0.05</w:t>
            </w:r>
          </w:p>
        </w:tc>
        <w:tc>
          <w:tcPr>
            <w:tcW w:type="dxa" w:w="2520"/>
            <w:vAlign w:val="center"/>
          </w:tcPr>
          <w:p>
            <w:r>
              <w:rPr>
                <w:sz w:val="17"/>
              </w:rPr>
              <w:t>Improved copper surface finish / silver plating; estimate</w:t>
            </w:r>
          </w:p>
        </w:tc>
      </w:tr>
      <w:tr>
        <w:tc>
          <w:tcPr>
            <w:tcW w:type="dxa" w:w="2520"/>
            <w:vAlign w:val="center"/>
          </w:tcPr>
          <w:p>
            <w:r>
              <w:rPr>
                <w:sz w:val="17"/>
              </w:rPr>
              <w:t>Dielectric loss</w:t>
            </w:r>
          </w:p>
        </w:tc>
        <w:tc>
          <w:tcPr>
            <w:tcW w:type="dxa" w:w="2520"/>
            <w:vAlign w:val="center"/>
          </w:tcPr>
          <w:p>
            <w:r>
              <w:rPr>
                <w:sz w:val="17"/>
              </w:rPr>
              <w:t>0.00</w:t>
            </w:r>
          </w:p>
        </w:tc>
        <w:tc>
          <w:tcPr>
            <w:tcW w:type="dxa" w:w="2520"/>
            <w:vAlign w:val="center"/>
          </w:tcPr>
          <w:p>
            <w:r>
              <w:rPr>
                <w:sz w:val="17"/>
              </w:rPr>
              <w:t>0.00</w:t>
            </w:r>
          </w:p>
        </w:tc>
        <w:tc>
          <w:tcPr>
            <w:tcW w:type="dxa" w:w="2520"/>
            <w:vAlign w:val="center"/>
          </w:tcPr>
          <w:p>
            <w:r>
              <w:rPr>
                <w:sz w:val="17"/>
              </w:rPr>
              <w:t>Air-filled guide; dielectric loss inside guide is negligible</w:t>
            </w:r>
          </w:p>
        </w:tc>
      </w:tr>
      <w:tr>
        <w:tc>
          <w:tcPr>
            <w:tcW w:type="dxa" w:w="2520"/>
            <w:vAlign w:val="center"/>
          </w:tcPr>
          <w:p>
            <w:r>
              <w:rPr>
                <w:sz w:val="17"/>
              </w:rPr>
              <w:t>Radiation loss</w:t>
            </w:r>
          </w:p>
        </w:tc>
        <w:tc>
          <w:tcPr>
            <w:tcW w:type="dxa" w:w="2520"/>
            <w:vAlign w:val="center"/>
          </w:tcPr>
          <w:p>
            <w:r>
              <w:rPr>
                <w:sz w:val="17"/>
              </w:rPr>
              <w:t>0.02</w:t>
            </w:r>
          </w:p>
        </w:tc>
        <w:tc>
          <w:tcPr>
            <w:tcW w:type="dxa" w:w="2520"/>
            <w:vAlign w:val="center"/>
          </w:tcPr>
          <w:p>
            <w:r>
              <w:rPr>
                <w:sz w:val="17"/>
              </w:rPr>
              <w:t>0.01</w:t>
            </w:r>
          </w:p>
        </w:tc>
        <w:tc>
          <w:tcPr>
            <w:tcW w:type="dxa" w:w="2520"/>
            <w:vAlign w:val="center"/>
          </w:tcPr>
          <w:p>
            <w:r>
              <w:rPr>
                <w:sz w:val="17"/>
              </w:rPr>
              <w:t>Better flange contact and smoother transitions</w:t>
            </w:r>
          </w:p>
        </w:tc>
      </w:tr>
      <w:tr>
        <w:tc>
          <w:tcPr>
            <w:tcW w:type="dxa" w:w="2520"/>
            <w:vAlign w:val="center"/>
          </w:tcPr>
          <w:p>
            <w:r>
              <w:rPr>
                <w:sz w:val="17"/>
              </w:rPr>
              <w:t>Connector/transition equivalent</w:t>
            </w:r>
          </w:p>
        </w:tc>
        <w:tc>
          <w:tcPr>
            <w:tcW w:type="dxa" w:w="2520"/>
            <w:vAlign w:val="center"/>
          </w:tcPr>
          <w:p>
            <w:r>
              <w:rPr>
                <w:sz w:val="17"/>
              </w:rPr>
              <w:t>0.30 over 0.30 m = 1.00 dB/m equivalent</w:t>
            </w:r>
          </w:p>
        </w:tc>
        <w:tc>
          <w:tcPr>
            <w:tcW w:type="dxa" w:w="2520"/>
            <w:vAlign w:val="center"/>
          </w:tcPr>
          <w:p>
            <w:r>
              <w:rPr>
                <w:sz w:val="17"/>
              </w:rPr>
              <w:t>0.12 over 0.30 m = 0.40 dB/m equivalent</w:t>
            </w:r>
          </w:p>
        </w:tc>
        <w:tc>
          <w:tcPr>
            <w:tcW w:type="dxa" w:w="2520"/>
            <w:vAlign w:val="center"/>
          </w:tcPr>
          <w:p>
            <w:r>
              <w:rPr>
                <w:sz w:val="17"/>
              </w:rPr>
              <w:t>Fixed transition loss expressed as an equivalent per-metre value</w:t>
            </w:r>
          </w:p>
        </w:tc>
      </w:tr>
      <w:tr>
        <w:tc>
          <w:tcPr>
            <w:tcW w:type="dxa" w:w="2520"/>
            <w:vAlign w:val="center"/>
          </w:tcPr>
          <w:p>
            <w:r>
              <w:rPr>
                <w:sz w:val="17"/>
              </w:rPr>
              <w:t>Total equivalent attenuation</w:t>
            </w:r>
          </w:p>
        </w:tc>
        <w:tc>
          <w:tcPr>
            <w:tcW w:type="dxa" w:w="2520"/>
            <w:vAlign w:val="center"/>
          </w:tcPr>
          <w:p>
            <w:r>
              <w:rPr>
                <w:sz w:val="17"/>
              </w:rPr>
              <w:t>1.10</w:t>
            </w:r>
          </w:p>
        </w:tc>
        <w:tc>
          <w:tcPr>
            <w:tcW w:type="dxa" w:w="2520"/>
            <w:vAlign w:val="center"/>
          </w:tcPr>
          <w:p>
            <w:r>
              <w:rPr>
                <w:sz w:val="17"/>
              </w:rPr>
              <w:t>0.46</w:t>
            </w:r>
          </w:p>
        </w:tc>
        <w:tc>
          <w:tcPr>
            <w:tcW w:type="dxa" w:w="2520"/>
            <w:vAlign w:val="center"/>
          </w:tcPr>
          <w:p>
            <w:r>
              <w:rPr>
                <w:sz w:val="17"/>
              </w:rPr>
              <w:t>Includes estimated transition contribution</w:t>
            </w:r>
          </w:p>
        </w:tc>
      </w:tr>
    </w:tbl>
    <w:p/>
    <w:p>
      <w:r>
        <w:t>The example loss budget is intentionally conservative about transitions. The fixed transition contribution is 0.30 dB initially and 0.12 dB after redesign; dividing by the 0.30 m length gives 1.00 dB/m and 0.40 dB/m equivalent values. The dominant loss is the connector/transition contribution. Initially it is 0.30/0.33 = 90.9% of the estimated 0.33 dB total loss for the 0.30 m section. After improvement it is 0.12/0.138 = 87.0% of the estimated 0.138 dB total. These percentages are illustrative estimates and depend on the actual transition.</w:t>
      </w:r>
    </w:p>
    <w:p>
      <w:r>
        <w:t>Example conductor calculation: Rs = √(πfμ₀/σ) = √[π(10×10⁹)(4π×10⁻⁷)/(5.8×10⁷)] ≈ 0.026 Ω. Skin depth δ = √[2/(2πfμ₀σ)] ≈ 0.66 μm. This shows why surface roughness on the order of micrometres can matter at X band.</w:t>
      </w:r>
    </w:p>
    <w:p>
      <w:r>
        <w:t>Example dielectric calculation: if a dielectric-filled section had β = 158.24 rad/m and tanδd = 0.001, then αd ≈ β tanδd/2 = 0.0791 Np/m. Converting to dB/m using 8.686 gives about 0.687 dB/m. This is an illustration only; the chosen design is air-filled, so this dielectric loss is not included in its loss table.</w:t>
      </w:r>
    </w:p>
    <w:p>
      <w:pPr>
        <w:pStyle w:val="Heading2"/>
      </w:pPr>
      <w:r>
        <w:t>4.2 Parametric trends and redesign</w:t>
      </w:r>
    </w:p>
    <w:p>
      <w:r>
        <w:t>Attenuation generally increases with frequency because conductor surface resistance rises approximately with √f, and dielectric loss often increases with frequency as well. Higher conductivity lowers conductor loss. Rough metal surfaces increase current-path loss at high frequencies. A higher dielectric loss tangent increases dielectric attenuation. The redesign uses clean, well-aligned flanges, a smoother high-conductivity internal surface, and a gradual transition rather than an abrupt one.</w:t>
      </w:r>
    </w:p>
    <w:p>
      <w:r>
        <w:t>The estimated total loss falls from about 0.33 dB to 0.138 dB over 0.30 m, an improvement of 0.192 dB. The improved estimate meets the 0.5 dB requirement. The trade-off is additional cost for plating and better transition components.</w:t>
      </w:r>
    </w:p>
    <w:p>
      <w:r>
        <w:t>Design Decision 3: The dominant loss is the connector/transition contribution. Better flange alignment, improved contact and a smoother transition reduce the estimated total section loss from 0.33 dB to 0.138 dB. These figures must be verified with a VNA or EM simulation before claiming measured performance.</w:t>
      </w:r>
    </w:p>
    <w:p>
      <w:pPr>
        <w:pStyle w:val="Heading1"/>
      </w:pPr>
      <w:r>
        <w:t>STAGE 5 – CREATE AND EVALUATE THE NETWORK MODEL</w:t>
      </w:r>
    </w:p>
    <w:p>
      <w:pPr>
        <w:pStyle w:val="Heading2"/>
      </w:pPr>
      <w:r>
        <w:t>5.1 Equivalent voltage and current</w:t>
      </w:r>
    </w:p>
    <w:p>
      <w:r>
        <w:t>In a non-TEM waveguide, voltage and current are not uniquely defined by simple cross-sectional integrals because the fields are not uniform across the cross-section. For a single propagating mode, equivalent voltage and current can be defined so that power flow is represented by P = ½ Re(VI*) and the mode has a modal impedance. For a TE mode, ZTE = ωμ/β; for a TM mode, ZTM = β/(ωε).</w:t>
      </w:r>
    </w:p>
    <w:p>
      <w:pPr>
        <w:pStyle w:val="Heading2"/>
      </w:pPr>
      <w:r>
        <w:t>5.2 Incident/reflected waves and S-parameters</w:t>
      </w:r>
    </w:p>
    <w:p>
      <w:r>
        <w:t>For a real reference impedance Z₀, normalized waves are a = (V + Z₀I)/(2√Z₀) and b = (V − Z₀I)/(2√Z₀). For a two-port network, b₁ = S₁₁a₁ + S₁₂a₂ and b₂ = S₂₁a₁ + S₂₂a₂. S₁₁ and S₂₂ describe input/output reflection; S₂₁ and S₁₂ describe forward and reverse transmission. A reciprocal passive structure has S₁₂ = S₂₁. A symmetric structure has S₁₁ = S₂₂. For a lossless network, SᴴS = I.</w:t>
      </w:r>
    </w:p>
    <w:p>
      <w:r>
        <w:t>For a uniform line of characteristic impedance Zc and propagation constant γ, length l, the ABCD matrix is [[cosh(γl), Zc sinh(γl)], [sinh(γl)/Zc, cosh(γl)]]. Two sections are cascaded by multiplying their ABCD matrices in order: Mtotal = M1M2. Convert ABCD to S-parameters using the same real reference impedance Z₀ at both ports: Δ = A + B/Z₀ + CZ₀ + D; S₁₁ = (A+B/Z₀−CZ₀−D)/Δ; S₂₁ = 2/Δ; S₁₂ = 2(AD−BC)/Δ; S₂₂ = (−A+B/Z₀−CZ₀+D)/Δ.</w:t>
      </w:r>
    </w:p>
    <w:p>
      <w:pPr>
        <w:pStyle w:val="Heading2"/>
      </w:pPr>
      <w:r>
        <w:t>5.3 Mismatch and quarter-wave matching example</w:t>
      </w:r>
    </w:p>
    <w:p>
      <w:r>
        <w:t>To show the matching calculation clearly, consider the 50 Ω coaxial test interface feeding a realistic 75 Ω load. This is an interface example, not a claim that the waveguide modal impedance is 50 Ω. The load reflection coefficient is Γ = (75−50)/(75+50) = 0.20. VSWR = (1+|Γ|)/(1−|Γ|) = 1.50. Return loss = −20log₁₀|Γ| = 13.98 dB. This misses the 15 dB target.</w:t>
      </w:r>
    </w:p>
    <w:p>
      <w:r>
        <w:t>A quarter-wave transformer has impedance Zt = √(Z₀ZL) = √(50×75) = 61.24 Ω and electrical length λ/4 at the centre frequency. At 10 GHz in air, λ₀/4 ≈ 7.50 mm. At the design frequency, the ideal transformer makes the input impedance 50 Ω and Γ = 0, so the theoretical return loss tends to infinity and VSWR is 1. Real connectors and bandwidth reduce this ideal performance. A tapered transition can provide a broader match.</w:t>
      </w:r>
    </w:p>
    <w:tbl>
      <w:tblPr>
        <w:tblStyle w:val="LightShading-Accent1"/>
        <w:tblW w:type="auto" w:w="0"/>
        <w:jc w:val="center"/>
        <w:tblLook w:firstColumn="1" w:firstRow="1" w:lastColumn="0" w:lastRow="0" w:noHBand="0" w:noVBand="1" w:val="04A0"/>
      </w:tblPr>
      <w:tblGrid>
        <w:gridCol w:w="2520"/>
        <w:gridCol w:w="2520"/>
        <w:gridCol w:w="2520"/>
        <w:gridCol w:w="2520"/>
      </w:tblGrid>
      <w:tr>
        <w:tc>
          <w:tcPr>
            <w:tcW w:type="dxa" w:w="2520"/>
            <w:vAlign w:val="center"/>
          </w:tcPr>
          <w:p>
            <w:r>
              <w:rPr>
                <w:sz w:val="17"/>
              </w:rPr>
              <w:t>Parameter</w:t>
            </w:r>
          </w:p>
        </w:tc>
        <w:tc>
          <w:tcPr>
            <w:tcW w:type="dxa" w:w="2520"/>
            <w:vAlign w:val="center"/>
          </w:tcPr>
          <w:p>
            <w:r>
              <w:rPr>
                <w:sz w:val="17"/>
              </w:rPr>
              <w:t>Before matching</w:t>
            </w:r>
          </w:p>
        </w:tc>
        <w:tc>
          <w:tcPr>
            <w:tcW w:type="dxa" w:w="2520"/>
            <w:vAlign w:val="center"/>
          </w:tcPr>
          <w:p>
            <w:r>
              <w:rPr>
                <w:sz w:val="17"/>
              </w:rPr>
              <w:t>Ideal after matching</w:t>
            </w:r>
          </w:p>
        </w:tc>
        <w:tc>
          <w:tcPr>
            <w:tcW w:type="dxa" w:w="2520"/>
            <w:vAlign w:val="center"/>
          </w:tcPr>
          <w:p>
            <w:r>
              <w:rPr>
                <w:sz w:val="17"/>
              </w:rPr>
              <w:t>Target / interpretation</w:t>
            </w:r>
          </w:p>
        </w:tc>
      </w:tr>
      <w:tr>
        <w:tc>
          <w:tcPr>
            <w:tcW w:type="dxa" w:w="2520"/>
            <w:vAlign w:val="center"/>
          </w:tcPr>
          <w:p>
            <w:r>
              <w:rPr>
                <w:sz w:val="17"/>
              </w:rPr>
              <w:t>Reference impedance</w:t>
            </w:r>
          </w:p>
        </w:tc>
        <w:tc>
          <w:tcPr>
            <w:tcW w:type="dxa" w:w="2520"/>
            <w:vAlign w:val="center"/>
          </w:tcPr>
          <w:p>
            <w:r>
              <w:rPr>
                <w:sz w:val="17"/>
              </w:rPr>
              <w:t>50 Ω</w:t>
            </w:r>
          </w:p>
        </w:tc>
        <w:tc>
          <w:tcPr>
            <w:tcW w:type="dxa" w:w="2520"/>
            <w:vAlign w:val="center"/>
          </w:tcPr>
          <w:p>
            <w:r>
              <w:rPr>
                <w:sz w:val="17"/>
              </w:rPr>
              <w:t>50 Ω</w:t>
            </w:r>
          </w:p>
        </w:tc>
        <w:tc>
          <w:tcPr>
            <w:tcW w:type="dxa" w:w="2520"/>
            <w:vAlign w:val="center"/>
          </w:tcPr>
          <w:p>
            <w:r>
              <w:rPr>
                <w:sz w:val="17"/>
              </w:rPr>
              <w:t>50 Ω instrument interface</w:t>
            </w:r>
          </w:p>
        </w:tc>
      </w:tr>
      <w:tr>
        <w:tc>
          <w:tcPr>
            <w:tcW w:type="dxa" w:w="2520"/>
            <w:vAlign w:val="center"/>
          </w:tcPr>
          <w:p>
            <w:r>
              <w:rPr>
                <w:sz w:val="17"/>
              </w:rPr>
              <w:t>Load impedance</w:t>
            </w:r>
          </w:p>
        </w:tc>
        <w:tc>
          <w:tcPr>
            <w:tcW w:type="dxa" w:w="2520"/>
            <w:vAlign w:val="center"/>
          </w:tcPr>
          <w:p>
            <w:r>
              <w:rPr>
                <w:sz w:val="17"/>
              </w:rPr>
              <w:t>75 Ω</w:t>
            </w:r>
          </w:p>
        </w:tc>
        <w:tc>
          <w:tcPr>
            <w:tcW w:type="dxa" w:w="2520"/>
            <w:vAlign w:val="center"/>
          </w:tcPr>
          <w:p>
            <w:r>
              <w:rPr>
                <w:sz w:val="17"/>
              </w:rPr>
              <w:t>Transformed to 50 Ω at centre frequency</w:t>
            </w:r>
          </w:p>
        </w:tc>
        <w:tc>
          <w:tcPr>
            <w:tcW w:type="dxa" w:w="2520"/>
            <w:vAlign w:val="center"/>
          </w:tcPr>
          <w:p>
            <w:r>
              <w:rPr>
                <w:sz w:val="17"/>
              </w:rPr>
              <w:t>Match at 10 GHz</w:t>
            </w:r>
          </w:p>
        </w:tc>
      </w:tr>
      <w:tr>
        <w:tc>
          <w:tcPr>
            <w:tcW w:type="dxa" w:w="2520"/>
            <w:vAlign w:val="center"/>
          </w:tcPr>
          <w:p>
            <w:r>
              <w:rPr>
                <w:sz w:val="17"/>
              </w:rPr>
              <w:t>Reflection coefficient magnitude</w:t>
            </w:r>
          </w:p>
        </w:tc>
        <w:tc>
          <w:tcPr>
            <w:tcW w:type="dxa" w:w="2520"/>
            <w:vAlign w:val="center"/>
          </w:tcPr>
          <w:p>
            <w:r>
              <w:rPr>
                <w:sz w:val="17"/>
              </w:rPr>
              <w:t>0.20</w:t>
            </w:r>
          </w:p>
        </w:tc>
        <w:tc>
          <w:tcPr>
            <w:tcW w:type="dxa" w:w="2520"/>
            <w:vAlign w:val="center"/>
          </w:tcPr>
          <w:p>
            <w:r>
              <w:rPr>
                <w:sz w:val="17"/>
              </w:rPr>
              <w:t>0 (ideal)</w:t>
            </w:r>
          </w:p>
        </w:tc>
        <w:tc>
          <w:tcPr>
            <w:tcW w:type="dxa" w:w="2520"/>
            <w:vAlign w:val="center"/>
          </w:tcPr>
          <w:p>
            <w:r>
              <w:rPr>
                <w:sz w:val="17"/>
              </w:rPr>
              <w:t>≤ 0.178 for 15 dB return loss</w:t>
            </w:r>
          </w:p>
        </w:tc>
      </w:tr>
      <w:tr>
        <w:tc>
          <w:tcPr>
            <w:tcW w:type="dxa" w:w="2520"/>
            <w:vAlign w:val="center"/>
          </w:tcPr>
          <w:p>
            <w:r>
              <w:rPr>
                <w:sz w:val="17"/>
              </w:rPr>
              <w:t>VSWR</w:t>
            </w:r>
          </w:p>
        </w:tc>
        <w:tc>
          <w:tcPr>
            <w:tcW w:type="dxa" w:w="2520"/>
            <w:vAlign w:val="center"/>
          </w:tcPr>
          <w:p>
            <w:r>
              <w:rPr>
                <w:sz w:val="17"/>
              </w:rPr>
              <w:t>1.50</w:t>
            </w:r>
          </w:p>
        </w:tc>
        <w:tc>
          <w:tcPr>
            <w:tcW w:type="dxa" w:w="2520"/>
            <w:vAlign w:val="center"/>
          </w:tcPr>
          <w:p>
            <w:r>
              <w:rPr>
                <w:sz w:val="17"/>
              </w:rPr>
              <w:t>1.00 (ideal)</w:t>
            </w:r>
          </w:p>
        </w:tc>
        <w:tc>
          <w:tcPr>
            <w:tcW w:type="dxa" w:w="2520"/>
            <w:vAlign w:val="center"/>
          </w:tcPr>
          <w:p>
            <w:r>
              <w:rPr>
                <w:sz w:val="17"/>
              </w:rPr>
              <w:t>≤ 1.43</w:t>
            </w:r>
          </w:p>
        </w:tc>
      </w:tr>
      <w:tr>
        <w:tc>
          <w:tcPr>
            <w:tcW w:type="dxa" w:w="2520"/>
            <w:vAlign w:val="center"/>
          </w:tcPr>
          <w:p>
            <w:r>
              <w:rPr>
                <w:sz w:val="17"/>
              </w:rPr>
              <w:t>Return loss</w:t>
            </w:r>
          </w:p>
        </w:tc>
        <w:tc>
          <w:tcPr>
            <w:tcW w:type="dxa" w:w="2520"/>
            <w:vAlign w:val="center"/>
          </w:tcPr>
          <w:p>
            <w:r>
              <w:rPr>
                <w:sz w:val="17"/>
              </w:rPr>
              <w:t>13.98 dB</w:t>
            </w:r>
          </w:p>
        </w:tc>
        <w:tc>
          <w:tcPr>
            <w:tcW w:type="dxa" w:w="2520"/>
            <w:vAlign w:val="center"/>
          </w:tcPr>
          <w:p>
            <w:r>
              <w:rPr>
                <w:sz w:val="17"/>
              </w:rPr>
              <w:t>Theoretically infinite (ideal)</w:t>
            </w:r>
          </w:p>
        </w:tc>
        <w:tc>
          <w:tcPr>
            <w:tcW w:type="dxa" w:w="2520"/>
            <w:vAlign w:val="center"/>
          </w:tcPr>
          <w:p>
            <w:r>
              <w:rPr>
                <w:sz w:val="17"/>
              </w:rPr>
              <w:t>≥ 15 dB</w:t>
            </w:r>
          </w:p>
        </w:tc>
      </w:tr>
      <w:tr>
        <w:tc>
          <w:tcPr>
            <w:tcW w:type="dxa" w:w="2520"/>
            <w:vAlign w:val="center"/>
          </w:tcPr>
          <w:p>
            <w:r>
              <w:rPr>
                <w:sz w:val="17"/>
              </w:rPr>
              <w:t>Insertion loss</w:t>
            </w:r>
          </w:p>
        </w:tc>
        <w:tc>
          <w:tcPr>
            <w:tcW w:type="dxa" w:w="2520"/>
            <w:vAlign w:val="center"/>
          </w:tcPr>
          <w:p>
            <w:r>
              <w:rPr>
                <w:sz w:val="17"/>
              </w:rPr>
              <w:t>Depends on real transition</w:t>
            </w:r>
          </w:p>
        </w:tc>
        <w:tc>
          <w:tcPr>
            <w:tcW w:type="dxa" w:w="2520"/>
            <w:vAlign w:val="center"/>
          </w:tcPr>
          <w:p>
            <w:r>
              <w:rPr>
                <w:sz w:val="17"/>
              </w:rPr>
              <w:t>Transformer has ideal zero loss</w:t>
            </w:r>
          </w:p>
        </w:tc>
        <w:tc>
          <w:tcPr>
            <w:tcW w:type="dxa" w:w="2520"/>
            <w:vAlign w:val="center"/>
          </w:tcPr>
          <w:p>
            <w:r>
              <w:rPr>
                <w:sz w:val="17"/>
              </w:rPr>
              <w:t>Measure S₂₁ with VNA</w:t>
            </w:r>
          </w:p>
        </w:tc>
      </w:tr>
      <w:tr>
        <w:tc>
          <w:tcPr>
            <w:tcW w:type="dxa" w:w="2520"/>
            <w:vAlign w:val="center"/>
          </w:tcPr>
          <w:p>
            <w:r>
              <w:rPr>
                <w:sz w:val="17"/>
              </w:rPr>
              <w:t>Reciprocity / losslessness</w:t>
            </w:r>
          </w:p>
        </w:tc>
        <w:tc>
          <w:tcPr>
            <w:tcW w:type="dxa" w:w="2520"/>
            <w:vAlign w:val="center"/>
          </w:tcPr>
          <w:p>
            <w:r>
              <w:rPr>
                <w:sz w:val="17"/>
              </w:rPr>
              <w:t>Passive reciprocal example</w:t>
            </w:r>
          </w:p>
        </w:tc>
        <w:tc>
          <w:tcPr>
            <w:tcW w:type="dxa" w:w="2520"/>
            <w:vAlign w:val="center"/>
          </w:tcPr>
          <w:p>
            <w:r>
              <w:rPr>
                <w:sz w:val="17"/>
              </w:rPr>
              <w:t>Ideal transformer is reciprocal and lossless</w:t>
            </w:r>
          </w:p>
        </w:tc>
        <w:tc>
          <w:tcPr>
            <w:tcW w:type="dxa" w:w="2520"/>
            <w:vAlign w:val="center"/>
          </w:tcPr>
          <w:p>
            <w:r>
              <w:rPr>
                <w:sz w:val="17"/>
              </w:rPr>
              <w:t>Real conductor/dielectric losses make it not perfectly lossless</w:t>
            </w:r>
          </w:p>
        </w:tc>
      </w:tr>
    </w:tbl>
    <w:p/>
    <w:p>
      <w:r>
        <w:t>Insertion loss is −20log₁₀|S₂₁| when the ports are matched and the usual power-wave convention is used. Return loss is −20log₁₀|S₁₁|. A good match gives a small |S₁₁|; low insertion loss gives |S₂₁| close to 1. A waveguide’s modal reference impedance is frequency-dependent, so S-parameter plots should state the port normalization used by the simulator or VNA fixture.</w:t>
      </w:r>
    </w:p>
    <w:p>
      <w:r>
        <w:t>Verification plan: calibrate a vector network analyser (VNA) over 9.5–10.5 GHz, connect the waveguide using suitable calibrated transitions, record S₁₁ and S₂₁ magnitude and phase, and compare the plots with the hand calculations. Use a Smith chart to inspect the impedance match. Use a 2-port simulation to compare one section and two cascaded sections.</w:t>
      </w:r>
    </w:p>
    <w:p>
      <w:pPr>
        <w:pStyle w:val="Heading1"/>
      </w:pPr>
      <w:r>
        <w:t>STAGE 6 – VALIDATE, CRITIQUE AND DEFEND THE FINAL DESIGN</w:t>
      </w:r>
    </w:p>
    <w:p>
      <w:pPr>
        <w:pStyle w:val="Heading2"/>
      </w:pPr>
      <w:r>
        <w:t>6.1 Assumptions and tolerance</w:t>
      </w:r>
    </w:p>
    <w:p>
      <w:r>
        <w:t>The calculations initially assume perfectly conducting walls, air with constant permittivity, straight walls and no flange gaps. Real copper has finite conductivity, surface roughness increases loss, and transitions create reflections. Temperature and manufacturing errors change the dimensions. The cutoff frequency is inversely proportional to the broad dimension a, so a ±5% error in a changes TE₁₀ cutoff by roughly ∓5%. For a = 22.86 mm, a +5% width gives fc ≈ 6.245 GHz; a −5% width gives fc ≈ 6.902 GHz. Both are below the 9.5 GHz lower operating frequency, so TE₁₀ still propagates. However, dimensional errors can affect impedance and transition match even when cutoff remains acceptable.</w:t>
      </w:r>
    </w:p>
    <w:p>
      <w:pPr>
        <w:pStyle w:val="Heading2"/>
      </w:pPr>
      <w:r>
        <w:t>6.2 EMC, safety and experimental test plan</w:t>
      </w:r>
    </w:p>
    <w:p>
      <w:r>
        <w:t>Use conductive waveguide walls, properly tightened flanges, suitable RF gaskets if specified by the manufacturer, and shielded coaxial cables. Inspect for corrosion and gaps. The test plan is: (1) visual inspection and dimensional check; (2) VNA calibration; (3) measure S₁₁ and S₂₁ over 9.5–10.5 GHz; (4) check insertion loss and return loss against the targets; (5) perform an RF leakage survey under safe operating conditions; (6) repeat measurements after reconnecting the flanges to check repeatability; and (7) document temperature and power conditions.</w:t>
      </w:r>
    </w:p>
    <w:tbl>
      <w:tblPr>
        <w:tblStyle w:val="LightShading-Accent1"/>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tcPr>
          <w:p>
            <w:r>
              <w:rPr>
                <w:sz w:val="17"/>
              </w:rPr>
              <w:t>Requirement</w:t>
            </w:r>
          </w:p>
        </w:tc>
        <w:tc>
          <w:tcPr>
            <w:tcW w:type="dxa" w:w="2016"/>
            <w:vAlign w:val="center"/>
          </w:tcPr>
          <w:p>
            <w:r>
              <w:rPr>
                <w:sz w:val="17"/>
              </w:rPr>
              <w:t>Specified</w:t>
            </w:r>
          </w:p>
        </w:tc>
        <w:tc>
          <w:tcPr>
            <w:tcW w:type="dxa" w:w="2016"/>
            <w:vAlign w:val="center"/>
          </w:tcPr>
          <w:p>
            <w:r>
              <w:rPr>
                <w:sz w:val="17"/>
              </w:rPr>
              <w:t>Initial design estimate</w:t>
            </w:r>
          </w:p>
        </w:tc>
        <w:tc>
          <w:tcPr>
            <w:tcW w:type="dxa" w:w="2016"/>
            <w:vAlign w:val="center"/>
          </w:tcPr>
          <w:p>
            <w:r>
              <w:rPr>
                <w:sz w:val="17"/>
              </w:rPr>
              <w:t>Final design estimate / check</w:t>
            </w:r>
          </w:p>
        </w:tc>
        <w:tc>
          <w:tcPr>
            <w:tcW w:type="dxa" w:w="2016"/>
            <w:vAlign w:val="center"/>
          </w:tcPr>
          <w:p>
            <w:r>
              <w:rPr>
                <w:sz w:val="17"/>
              </w:rPr>
              <w:t>Satisfied?</w:t>
            </w:r>
          </w:p>
        </w:tc>
      </w:tr>
      <w:tr>
        <w:tc>
          <w:tcPr>
            <w:tcW w:type="dxa" w:w="2016"/>
            <w:vAlign w:val="center"/>
          </w:tcPr>
          <w:p>
            <w:r>
              <w:rPr>
                <w:sz w:val="17"/>
              </w:rPr>
              <w:t>Operating band</w:t>
            </w:r>
          </w:p>
        </w:tc>
        <w:tc>
          <w:tcPr>
            <w:tcW w:type="dxa" w:w="2016"/>
            <w:vAlign w:val="center"/>
          </w:tcPr>
          <w:p>
            <w:r>
              <w:rPr>
                <w:sz w:val="17"/>
              </w:rPr>
              <w:t>9.5–10.5 GHz</w:t>
            </w:r>
          </w:p>
        </w:tc>
        <w:tc>
          <w:tcPr>
            <w:tcW w:type="dxa" w:w="2016"/>
            <w:vAlign w:val="center"/>
          </w:tcPr>
          <w:p>
            <w:r>
              <w:rPr>
                <w:sz w:val="17"/>
              </w:rPr>
              <w:t>Inside single-mode range</w:t>
            </w:r>
          </w:p>
        </w:tc>
        <w:tc>
          <w:tcPr>
            <w:tcW w:type="dxa" w:w="2016"/>
            <w:vAlign w:val="center"/>
          </w:tcPr>
          <w:p>
            <w:r>
              <w:rPr>
                <w:sz w:val="17"/>
              </w:rPr>
              <w:t>Inside 6.557–13.114 GHz</w:t>
            </w:r>
          </w:p>
        </w:tc>
        <w:tc>
          <w:tcPr>
            <w:tcW w:type="dxa" w:w="2016"/>
            <w:vAlign w:val="center"/>
          </w:tcPr>
          <w:p>
            <w:r>
              <w:rPr>
                <w:sz w:val="17"/>
              </w:rPr>
              <w:t>Yes</w:t>
            </w:r>
          </w:p>
        </w:tc>
      </w:tr>
      <w:tr>
        <w:tc>
          <w:tcPr>
            <w:tcW w:type="dxa" w:w="2016"/>
            <w:vAlign w:val="center"/>
          </w:tcPr>
          <w:p>
            <w:r>
              <w:rPr>
                <w:sz w:val="17"/>
              </w:rPr>
              <w:t>Dominant mode</w:t>
            </w:r>
          </w:p>
        </w:tc>
        <w:tc>
          <w:tcPr>
            <w:tcW w:type="dxa" w:w="2016"/>
            <w:vAlign w:val="center"/>
          </w:tcPr>
          <w:p>
            <w:r>
              <w:rPr>
                <w:sz w:val="17"/>
              </w:rPr>
              <w:t>TE₁₀</w:t>
            </w:r>
          </w:p>
        </w:tc>
        <w:tc>
          <w:tcPr>
            <w:tcW w:type="dxa" w:w="2016"/>
            <w:vAlign w:val="center"/>
          </w:tcPr>
          <w:p>
            <w:r>
              <w:rPr>
                <w:sz w:val="17"/>
              </w:rPr>
              <w:t>TE₁₀</w:t>
            </w:r>
          </w:p>
        </w:tc>
        <w:tc>
          <w:tcPr>
            <w:tcW w:type="dxa" w:w="2016"/>
            <w:vAlign w:val="center"/>
          </w:tcPr>
          <w:p>
            <w:r>
              <w:rPr>
                <w:sz w:val="17"/>
              </w:rPr>
              <w:t>TE₁₀ with higher-mode margin</w:t>
            </w:r>
          </w:p>
        </w:tc>
        <w:tc>
          <w:tcPr>
            <w:tcW w:type="dxa" w:w="2016"/>
            <w:vAlign w:val="center"/>
          </w:tcPr>
          <w:p>
            <w:r>
              <w:rPr>
                <w:sz w:val="17"/>
              </w:rPr>
              <w:t>Yes</w:t>
            </w:r>
          </w:p>
        </w:tc>
      </w:tr>
      <w:tr>
        <w:tc>
          <w:tcPr>
            <w:tcW w:type="dxa" w:w="2016"/>
            <w:vAlign w:val="center"/>
          </w:tcPr>
          <w:p>
            <w:r>
              <w:rPr>
                <w:sz w:val="17"/>
              </w:rPr>
              <w:t>Insertion loss</w:t>
            </w:r>
          </w:p>
        </w:tc>
        <w:tc>
          <w:tcPr>
            <w:tcW w:type="dxa" w:w="2016"/>
            <w:vAlign w:val="center"/>
          </w:tcPr>
          <w:p>
            <w:r>
              <w:rPr>
                <w:sz w:val="17"/>
              </w:rPr>
              <w:t>≤ 0.5 dB per 0.30 m section</w:t>
            </w:r>
          </w:p>
        </w:tc>
        <w:tc>
          <w:tcPr>
            <w:tcW w:type="dxa" w:w="2016"/>
            <w:vAlign w:val="center"/>
          </w:tcPr>
          <w:p>
            <w:r>
              <w:rPr>
                <w:sz w:val="17"/>
              </w:rPr>
              <w:t>≈ 0.33 dB estimated section loss</w:t>
            </w:r>
          </w:p>
        </w:tc>
        <w:tc>
          <w:tcPr>
            <w:tcW w:type="dxa" w:w="2016"/>
            <w:vAlign w:val="center"/>
          </w:tcPr>
          <w:p>
            <w:r>
              <w:rPr>
                <w:sz w:val="17"/>
              </w:rPr>
              <w:t>≈ 0.138 dB estimated</w:t>
            </w:r>
          </w:p>
        </w:tc>
        <w:tc>
          <w:tcPr>
            <w:tcW w:type="dxa" w:w="2016"/>
            <w:vAlign w:val="center"/>
          </w:tcPr>
          <w:p>
            <w:r>
              <w:rPr>
                <w:sz w:val="17"/>
              </w:rPr>
              <w:t>Yes, subject to measurement</w:t>
            </w:r>
          </w:p>
        </w:tc>
      </w:tr>
      <w:tr>
        <w:tc>
          <w:tcPr>
            <w:tcW w:type="dxa" w:w="2016"/>
            <w:vAlign w:val="center"/>
          </w:tcPr>
          <w:p>
            <w:r>
              <w:rPr>
                <w:sz w:val="17"/>
              </w:rPr>
              <w:t>Return loss</w:t>
            </w:r>
          </w:p>
        </w:tc>
        <w:tc>
          <w:tcPr>
            <w:tcW w:type="dxa" w:w="2016"/>
            <w:vAlign w:val="center"/>
          </w:tcPr>
          <w:p>
            <w:r>
              <w:rPr>
                <w:sz w:val="17"/>
              </w:rPr>
              <w:t>≥ 15 dB</w:t>
            </w:r>
          </w:p>
        </w:tc>
        <w:tc>
          <w:tcPr>
            <w:tcW w:type="dxa" w:w="2016"/>
            <w:vAlign w:val="center"/>
          </w:tcPr>
          <w:p>
            <w:r>
              <w:rPr>
                <w:sz w:val="17"/>
              </w:rPr>
              <w:t>13.98 dB for illustrative 50-to-75 Ω interface</w:t>
            </w:r>
          </w:p>
        </w:tc>
        <w:tc>
          <w:tcPr>
            <w:tcW w:type="dxa" w:w="2016"/>
            <w:vAlign w:val="center"/>
          </w:tcPr>
          <w:p>
            <w:r>
              <w:rPr>
                <w:sz w:val="17"/>
              </w:rPr>
              <w:t>Ideal quarter-wave match at centre frequency; real result must be measured</w:t>
            </w:r>
          </w:p>
        </w:tc>
        <w:tc>
          <w:tcPr>
            <w:tcW w:type="dxa" w:w="2016"/>
            <w:vAlign w:val="center"/>
          </w:tcPr>
          <w:p>
            <w:r>
              <w:rPr>
                <w:sz w:val="17"/>
              </w:rPr>
              <w:t>Target theoretically met; verify</w:t>
            </w:r>
          </w:p>
        </w:tc>
      </w:tr>
      <w:tr>
        <w:tc>
          <w:tcPr>
            <w:tcW w:type="dxa" w:w="2016"/>
            <w:vAlign w:val="center"/>
          </w:tcPr>
          <w:p>
            <w:r>
              <w:rPr>
                <w:sz w:val="17"/>
              </w:rPr>
              <w:t>VSWR</w:t>
            </w:r>
          </w:p>
        </w:tc>
        <w:tc>
          <w:tcPr>
            <w:tcW w:type="dxa" w:w="2016"/>
            <w:vAlign w:val="center"/>
          </w:tcPr>
          <w:p>
            <w:r>
              <w:rPr>
                <w:sz w:val="17"/>
              </w:rPr>
              <w:t>≤ 1.43</w:t>
            </w:r>
          </w:p>
        </w:tc>
        <w:tc>
          <w:tcPr>
            <w:tcW w:type="dxa" w:w="2016"/>
            <w:vAlign w:val="center"/>
          </w:tcPr>
          <w:p>
            <w:r>
              <w:rPr>
                <w:sz w:val="17"/>
              </w:rPr>
              <w:t>1.50 for illustrative interface</w:t>
            </w:r>
          </w:p>
        </w:tc>
        <w:tc>
          <w:tcPr>
            <w:tcW w:type="dxa" w:w="2016"/>
            <w:vAlign w:val="center"/>
          </w:tcPr>
          <w:p>
            <w:r>
              <w:rPr>
                <w:sz w:val="17"/>
              </w:rPr>
              <w:t>1.00 ideal at centre frequency</w:t>
            </w:r>
          </w:p>
        </w:tc>
        <w:tc>
          <w:tcPr>
            <w:tcW w:type="dxa" w:w="2016"/>
            <w:vAlign w:val="center"/>
          </w:tcPr>
          <w:p>
            <w:r>
              <w:rPr>
                <w:sz w:val="17"/>
              </w:rPr>
              <w:t>Target theoretically met; verify</w:t>
            </w:r>
          </w:p>
        </w:tc>
      </w:tr>
      <w:tr>
        <w:tc>
          <w:tcPr>
            <w:tcW w:type="dxa" w:w="2016"/>
            <w:vAlign w:val="center"/>
          </w:tcPr>
          <w:p>
            <w:r>
              <w:rPr>
                <w:sz w:val="17"/>
              </w:rPr>
              <w:t>EMI shielding</w:t>
            </w:r>
          </w:p>
        </w:tc>
        <w:tc>
          <w:tcPr>
            <w:tcW w:type="dxa" w:w="2016"/>
            <w:vAlign w:val="center"/>
          </w:tcPr>
          <w:p>
            <w:r>
              <w:rPr>
                <w:sz w:val="17"/>
              </w:rPr>
              <w:t>Target ≥ 60 dB</w:t>
            </w:r>
          </w:p>
        </w:tc>
        <w:tc>
          <w:tcPr>
            <w:tcW w:type="dxa" w:w="2016"/>
            <w:vAlign w:val="center"/>
          </w:tcPr>
          <w:p>
            <w:r>
              <w:rPr>
                <w:sz w:val="17"/>
              </w:rPr>
              <w:t>Depends on flange integrity</w:t>
            </w:r>
          </w:p>
        </w:tc>
        <w:tc>
          <w:tcPr>
            <w:tcW w:type="dxa" w:w="2016"/>
            <w:vAlign w:val="center"/>
          </w:tcPr>
          <w:p>
            <w:r>
              <w:rPr>
                <w:sz w:val="17"/>
              </w:rPr>
              <w:t>Conductive closed assembly; test required</w:t>
            </w:r>
          </w:p>
        </w:tc>
        <w:tc>
          <w:tcPr>
            <w:tcW w:type="dxa" w:w="2016"/>
            <w:vAlign w:val="center"/>
          </w:tcPr>
          <w:p>
            <w:r>
              <w:rPr>
                <w:sz w:val="17"/>
              </w:rPr>
              <w:t>Not confirmed until test</w:t>
            </w:r>
          </w:p>
        </w:tc>
      </w:tr>
      <w:tr>
        <w:tc>
          <w:tcPr>
            <w:tcW w:type="dxa" w:w="2016"/>
            <w:vAlign w:val="center"/>
          </w:tcPr>
          <w:p>
            <w:r>
              <w:rPr>
                <w:sz w:val="17"/>
              </w:rPr>
              <w:t>Power/size</w:t>
            </w:r>
          </w:p>
        </w:tc>
        <w:tc>
          <w:tcPr>
            <w:tcW w:type="dxa" w:w="2016"/>
            <w:vAlign w:val="center"/>
          </w:tcPr>
          <w:p>
            <w:r>
              <w:rPr>
                <w:sz w:val="17"/>
              </w:rPr>
              <w:t>Moderate power; ≤ 0.40 m assembly</w:t>
            </w:r>
          </w:p>
        </w:tc>
        <w:tc>
          <w:tcPr>
            <w:tcW w:type="dxa" w:w="2016"/>
            <w:vAlign w:val="center"/>
          </w:tcPr>
          <w:p>
            <w:r>
              <w:rPr>
                <w:sz w:val="17"/>
              </w:rPr>
              <w:t>0.30 m section plus transitions</w:t>
            </w:r>
          </w:p>
        </w:tc>
        <w:tc>
          <w:tcPr>
            <w:tcW w:type="dxa" w:w="2016"/>
            <w:vAlign w:val="center"/>
          </w:tcPr>
          <w:p>
            <w:r>
              <w:rPr>
                <w:sz w:val="17"/>
              </w:rPr>
              <w:t>Within target if assembly length is controlled</w:t>
            </w:r>
          </w:p>
        </w:tc>
        <w:tc>
          <w:tcPr>
            <w:tcW w:type="dxa" w:w="2016"/>
            <w:vAlign w:val="center"/>
          </w:tcPr>
          <w:p>
            <w:r>
              <w:rPr>
                <w:sz w:val="17"/>
              </w:rPr>
              <w:t>Likely</w:t>
            </w:r>
          </w:p>
        </w:tc>
      </w:tr>
    </w:tbl>
    <w:p/>
    <w:p>
      <w:r>
        <w:t>The most serious remaining limitation is that loss and shielding figures are estimates until verified with real components. An alternative improvement is to use a commercial precision transition and a properly matched waveguide flange assembly. This should reduce reflections and leakage, although it may raise the component cost.</w:t>
      </w:r>
    </w:p>
    <w:p>
      <w:pPr>
        <w:pStyle w:val="Heading1"/>
      </w:pPr>
      <w:r>
        <w:t>STAGE 7 – FINAL ENGINEERING DECISION</w:t>
      </w:r>
    </w:p>
    <w:p>
      <w:pPr>
        <w:pStyle w:val="Heading2"/>
      </w:pPr>
      <w:r>
        <w:t>7.1 Decision</w:t>
      </w:r>
    </w:p>
    <w:p>
      <w:r>
        <w:t>Initial design: NO, not as a fully verified finished product. The WR-90 dimensions and TE₁₀ mode are suitable, but the illustrative 50 Ω-to-75 Ω interface has only 13.98 dB return loss and a VSWR of 1.50, which misses the selected targets. The loss and shielding values also need measurement.</w:t>
      </w:r>
    </w:p>
    <w:p>
      <w:r>
        <w:t>Final improved design: YES, conditionally, for the proposed 10 GHz X-band radar feed. The TE₁₀ cutoff is 6.557 GHz and the first higher-order cutoff is 13.114 GHz, so the 9.5–10.5 GHz band is single-mode. The estimated section loss improves from 0.33 dB to 0.138 dB, below the 0.5 dB limit. The quarter-wave transformer theoretically matches the 50 Ω interface to the 75 Ω load at 10 GHz. Final adoption depends on VNA confirmation of return loss and insertion loss and an EMC leakage test.</w:t>
      </w:r>
    </w:p>
    <w:p>
      <w:r>
        <w:t>If measurements do not meet the targets, improve the transition geometry, use a precision matched adapter, check flange alignment and repeat the calibration. If operation is required above 13.114 GHz, WR-90 will no longer be single-mode and the guide dimensions or operating band must change.</w:t>
      </w:r>
    </w:p>
    <w:p>
      <w:pPr>
        <w:pStyle w:val="Heading1"/>
      </w:pPr>
      <w:r>
        <w:t>Conclusion</w:t>
      </w:r>
    </w:p>
    <w:p>
      <w:r>
        <w:t>A WR-90 rectangular waveguide operating in TE₁₀ mode is a suitable starting point for a 10 GHz radar receiver feed because it offers low-loss microwave transmission, good shielding and a defined single-mode operating range. The hand calculations confirm that the selected band lies between the TE₁₀ and TE₂₀ cutoff frequencies. Improving the transitions and matching arrangement reduces the estimated loss and reflection. The final design should be accepted only after S-parameter and leakage measurements confirm the calculated performance.</w:t>
      </w:r>
    </w:p>
    <w:p>
      <w:pPr>
        <w:pStyle w:val="Heading1"/>
      </w:pPr>
      <w:r>
        <w:t>References</w:t>
      </w:r>
    </w:p>
    <w:p>
      <w:r>
        <w:t>1. ECA13 – Microwave Engineering, CO1 Application-Based Assessment, supplied assignment sheet.</w:t>
      </w:r>
    </w:p>
    <w:p>
      <w:r>
        <w:t>2. D. M. Pozar, Microwave Engineering, 4th edition, Wiley.</w:t>
      </w:r>
    </w:p>
    <w:p>
      <w:r>
        <w:t>3. R. E. Collin, Foundations for Microwave Engineering, 2nd edition, Wiley.</w:t>
      </w:r>
    </w:p>
    <w:p>
      <w:r>
        <w:t>4. WR-90 waveguide dimensions and cutoff-frequency relations from standard rectangular-waveguide theory. Verify actual component tolerances and loss specifications against the selected manufacturer's datasheet.</w:t>
      </w:r>
    </w:p>
    <w:p>
      <w:pPr>
        <w:pStyle w:val="Heading1"/>
      </w:pPr>
      <w:r>
        <w:t>Appendix – Useful formulas</w:t>
      </w:r>
    </w:p>
    <w:p>
      <w:pPr>
        <w:pStyle w:val="ListBullet"/>
      </w:pPr>
      <w:r>
        <w:t>fc(mn) = (c/2)√[(m/a)² + (n/b)²]</w:t>
      </w:r>
    </w:p>
    <w:p>
      <w:pPr>
        <w:pStyle w:val="ListBullet"/>
      </w:pPr>
      <w:r>
        <w:t>β = (2πf/c)√[1 − (fc/f)²]</w:t>
      </w:r>
    </w:p>
    <w:p>
      <w:pPr>
        <w:pStyle w:val="ListBullet"/>
      </w:pPr>
      <w:r>
        <w:t>λg = 2π/β; vp = ω/β; vg = c²/vp</w:t>
      </w:r>
    </w:p>
    <w:p>
      <w:pPr>
        <w:pStyle w:val="ListBullet"/>
      </w:pPr>
      <w:r>
        <w:t>ZTE = ωμ/β = η/√[1 − (fc/f)²]; ZTM = β/(ωε)</w:t>
      </w:r>
    </w:p>
    <w:p>
      <w:pPr>
        <w:pStyle w:val="ListBullet"/>
      </w:pPr>
      <w:r>
        <w:t>Γ = (ZL − Z₀)/(ZL + Z₀); VSWR = (1+|Γ|)/(1−|Γ|)</w:t>
      </w:r>
    </w:p>
    <w:p>
      <w:pPr>
        <w:pStyle w:val="ListBullet"/>
      </w:pPr>
      <w:r>
        <w:t>Return loss = −20log₁₀|S₁₁|; insertion loss = −20log₁₀|S₂₁|</w:t>
      </w:r>
    </w:p>
    <w:p>
      <w:pPr>
        <w:pStyle w:val="ListBullet"/>
      </w:pPr>
      <w:r>
        <w:t>Skin depth δ = √[2/(ωμσ)]; surface resistance Rs = √(πfμ/σ)</w:t>
      </w:r>
    </w:p>
    <w:p>
      <w:pPr>
        <w:pStyle w:val="ListBullet"/>
      </w:pPr>
      <w:r>
        <w:t>Quarter-wave transformer impedance Zt = √(Z₀ZL)</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