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800"/>
        <w:jc w:val="center"/>
      </w:pPr>
      <w:r>
        <w:drawing>
          <wp:inline distT="0" distB="0" distL="0" distR="0">
            <wp:extent cx="3238500" cy="121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erriweather" w:cs="Merriweather" w:eastAsia="Merriweather" w:hAnsi="Merriweather"/>
          <w:b/>
          <w:bCs/>
          <w:color w:val="1A365D"/>
          <w:sz w:val="52"/>
          <w:szCs w:val="52"/>
        </w:rPr>
        <w:t xml:space="preserve">Lista de Cotejo + Rúbrica de Calidad</w:t>
      </w:r>
    </w:p>
    <w:p>
      <w:pPr>
        <w:spacing w:after="1200"/>
        <w:jc w:val="center"/>
      </w:pPr>
      <w:r>
        <w:rPr>
          <w:rFonts w:ascii="Inter" w:cs="Inter" w:eastAsia="Inter" w:hAnsi="Inter"/>
          <w:i/>
          <w:iCs/>
          <w:color w:val="5A5A5A"/>
          <w:sz w:val="26"/>
          <w:szCs w:val="26"/>
        </w:rPr>
        <w:t xml:space="preserve">¿Mi programa analítico está completo? ¿Y qué tan bueno es?</w:t>
      </w:r>
    </w:p>
    <w:p>
      <w:pPr>
        <w:spacing w:after="100"/>
        <w:jc w:val="center"/>
      </w:pPr>
      <w:r>
        <w:rPr>
          <w:rFonts w:ascii="Inter" w:cs="Inter" w:eastAsia="Inter" w:hAnsi="Inter"/>
          <w:b/>
          <w:bCs/>
          <w:color w:val="1A365D"/>
          <w:sz w:val="24"/>
          <w:szCs w:val="24"/>
        </w:rPr>
        <w:t xml:space="preserve">Kit Programa Analítico NEM</w:t>
      </w:r>
    </w:p>
    <w:p>
      <w:pPr>
        <w:jc w:val="center"/>
      </w:pPr>
      <w:r>
        <w:rPr>
          <w:rFonts w:ascii="Inter" w:cs="Inter" w:eastAsia="Inter" w:hAnsi="Inter"/>
          <w:color w:val="5A5A5A"/>
          <w:sz w:val="20"/>
          <w:szCs w:val="20"/>
        </w:rPr>
        <w:t xml:space="preserve">Pieza 4 de 5  ·  Contenidos transcritos y verificados contra los documentos oficiales públicos</w:t>
      </w:r>
    </w:p>
    <w:p>
      <w:pPr>
        <w:spacing w:before="600"/>
        <w:jc w:val="center"/>
      </w:pPr>
      <w:r>
        <w:rPr>
          <w:rFonts w:ascii="Merriweather" w:cs="Merriweather" w:eastAsia="Merriweather" w:hAnsi="Merriweather"/>
          <w:i/>
          <w:iCs/>
          <w:color w:val="E05A47"/>
          <w:sz w:val="22"/>
          <w:szCs w:val="22"/>
        </w:rPr>
        <w:t xml:space="preserve">Menos desgaste administrativo. Más tiempo para enseñar.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erriweather" w:cs="Merriweather" w:eastAsia="Merriweather" w:hAnsi="Merriweather"/>
          <w:b/>
          <w:bCs/>
          <w:color w:val="1A365D"/>
          <w:sz w:val="30"/>
          <w:szCs w:val="30"/>
        </w:rPr>
        <w:t xml:space="preserve">Lista de cotejo (10 ítems) — pásala ANTES de presentar al CTE</w:t>
      </w:r>
    </w:p>
    <w:p>
      <w:pPr>
        <w:spacing w:after="160" w:before="0"/>
        <w:jc w:val="left"/>
      </w:pPr>
      <w:r>
        <w:rPr>
          <w:rFonts w:ascii="Inter" w:cs="Inter" w:eastAsia="Inter" w:hAnsi="Inter"/>
          <w:b w:val="false"/>
          <w:bCs w:val="false"/>
          <w:i/>
          <w:iCs/>
          <w:color w:val="5A5A5A"/>
          <w:sz w:val="22"/>
          <w:szCs w:val="22"/>
        </w:rPr>
        <w:t xml:space="preserve">Marca: ✅ completo · ⚠️ parcial · ❌ falta</w:t>
      </w:r>
    </w:p>
    <w:p>
      <w:pPr>
        <w:pStyle w:val="Heading2"/>
        <w:spacing w:after="140" w:before="240"/>
      </w:pPr>
      <w:r>
        <w:rPr>
          <w:rFonts w:ascii="Merriweather" w:cs="Merriweather" w:eastAsia="Merriweather" w:hAnsi="Merriweather"/>
          <w:b/>
          <w:bCs/>
          <w:color w:val="D4AF37"/>
          <w:sz w:val="25"/>
          <w:szCs w:val="25"/>
        </w:rPr>
        <w:t xml:space="preserve">A · Lectura de la realidad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1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Ítem</w:t>
            </w:r>
          </w:p>
        </w:tc>
        <w:tc>
          <w:tcPr>
            <w:tcW w:type="dxa" w:w="1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✅ ⚠️ ❌</w:t>
            </w:r>
          </w:p>
        </w:tc>
      </w:tr>
      <w:tr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>Incluye diagnóstico de aprendizajes del grupo (no solo datos administrativos)</w:t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>Caracteriza el contexto comunitario con datos propios</w:t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>Recoge intereses y necesidades del alumnado con algún instrumento</w:t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40"/>
      </w:pPr>
      <w:r>
        <w:rPr>
          <w:rFonts w:ascii="Merriweather" w:cs="Merriweather" w:eastAsia="Merriweather" w:hAnsi="Merriweather"/>
          <w:b/>
          <w:bCs/>
          <w:color w:val="D4AF37"/>
          <w:sz w:val="25"/>
          <w:szCs w:val="25"/>
        </w:rPr>
        <w:t xml:space="preserve">B · Contextualización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1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Ítem</w:t>
            </w:r>
          </w:p>
        </w:tc>
        <w:tc>
          <w:tcPr>
            <w:tcW w:type="dxa" w:w="1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✅ ⚠️ ❌</w:t>
            </w:r>
          </w:p>
        </w:tc>
      </w:tr>
      <w:tr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>Cada contenido tiene decisión explícita: mantiene / contextualiza / incorpora</w:t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>Las decisiones citan evidencia del diagnóstico (no son genéricas)</w:t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>Los contenidos incorporados responden a problemáticas locales reales</w:t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40"/>
      </w:pPr>
      <w:r>
        <w:rPr>
          <w:rFonts w:ascii="Merriweather" w:cs="Merriweather" w:eastAsia="Merriweather" w:hAnsi="Merriweather"/>
          <w:b/>
          <w:bCs/>
          <w:color w:val="D4AF37"/>
          <w:sz w:val="25"/>
          <w:szCs w:val="25"/>
        </w:rPr>
        <w:t xml:space="preserve">C · Formulación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1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Ítem</w:t>
            </w:r>
          </w:p>
        </w:tc>
        <w:tc>
          <w:tcPr>
            <w:tcW w:type="dxa" w:w="1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✅ ⚠️ ❌</w:t>
            </w:r>
          </w:p>
        </w:tc>
      </w:tr>
      <w:tr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>Hay secuenciación y temporalidad para el ciclo escolar</w:t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>Las metodologías generales están nombradas</w:t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>Los ejes articuladores operan en contenidos concretos (no son lista de adorno)</w:t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>No invade el terreno de la planeación didáctica individual</w:t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333333"/>
                <w:sz w:val="21"/>
                <w:szCs w:val="21"/>
              </w:rPr>
              <w:t xml:space="preserve">Lectura del resultado: 9-10 ✅ → listo para el CTE · 6-8 → revisa tus ⚠️ con la rúbrica · menos de 6 → vuelve al plano que más ❌ concentra (casi siempre es el plano 1).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rFonts w:ascii="Merriweather" w:cs="Merriweather" w:eastAsia="Merriweather" w:hAnsi="Merriweather"/>
          <w:b/>
          <w:bCs/>
          <w:color w:val="1A365D"/>
          <w:sz w:val="30"/>
          <w:szCs w:val="30"/>
        </w:rPr>
        <w:t xml:space="preserve">Rúbrica de calidad (para el colectivo, en CTE)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2000"/>
        <w:gridCol w:w="2300"/>
        <w:gridCol w:w="2500"/>
        <w:gridCol w:w="2560"/>
      </w:tblGrid>
      <w:tr>
        <w:trPr>
          <w:tblHeader/>
        </w:trPr>
        <w:tc>
          <w:tcPr>
            <w:tcW w:type="dxa" w:w="1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1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🌱 Inicial</w:t>
            </w:r>
          </w:p>
        </w:tc>
        <w:tc>
          <w:tcPr>
            <w:tcW w:type="dxa" w:w="1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🌿 En desarrollo</w:t>
            </w:r>
          </w:p>
        </w:tc>
        <w:tc>
          <w:tcPr>
            <w:tcW w:type="dxa" w:w="1"/>
            <w:shd w:fill="1A365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🌳 Consolidado</w:t>
            </w:r>
          </w:p>
        </w:tc>
      </w:tr>
      <w:tr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>Anclaje en la realidad</w:t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>Contexto descrito de forma genérica</w:t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>Contexto con datos propios pero sin conexión a decisiones</w:t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>Cada decisión curricular es rastreable al diagnóstico</w:t>
            </w:r>
          </w:p>
        </w:tc>
      </w:tr>
      <w:tr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>Fidelidad normativa</w:t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>Contenidos copiados sin decisión</w:t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>Decisión trinaria aplicada en parte</w:t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>Decisión trinaria completa con contenidos/PDA citados del Programa Sintético</w:t>
            </w:r>
          </w:p>
        </w:tc>
      </w:tr>
      <w:tr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>Integración de ejes</w:t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>Ejes mencionados</w:t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>Ejes vinculados a algunos contenidos</w:t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>Ejes operando en situaciones concretas del programa</w:t>
            </w:r>
          </w:p>
        </w:tc>
      </w:tr>
      <w:tr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>Instrumento vivo</w:t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>Documento estático</w:t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>Prevé revisión sin fecha</w:t>
            </w:r>
          </w:p>
        </w:tc>
        <w:tc>
          <w:tcPr>
            <w:tcW w:type="dxa" w:w="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20"/>
                <w:szCs w:val="20"/>
              </w:rPr>
              <w:t xml:space="preserve">Calendario de reconstrucción en CTE definido</w:t>
            </w:r>
          </w:p>
        </w:tc>
      </w:tr>
    </w:tbl>
    <w:p>
      <w:pPr>
        <w:spacing w:after="160" w:before="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333333"/>
                <w:sz w:val="21"/>
                <w:szCs w:val="21"/>
              </w:rPr>
              <w:t xml:space="preserve">Sugerencia: apliquen la rúbrica en colectivo dos veces al año — al presentar el programa y en la revisión de medio ciclo. La diferencia entre las dos aplicaciones ES la evidencia de mejora que piden las supervisiones.</w:t>
            </w:r>
          </w:p>
        </w:tc>
      </w:tr>
    </w:tbl>
    <w:sectPr>
      <w:headerReference w:type="default" r:id="rId7"/>
      <w:headerReference w:type="first" r:id="rId8"/>
      <w:pgSz w:w="12240" w:h="15840" w:orient="portrait"/>
      <w:pgMar w:top="1200" w:right="1440" w:bottom="12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F37" w:sz="8" w:space="4"/>
      </w:pBdr>
      <w:tabs>
        <w:tab w:val="right" w:pos="9026"/>
      </w:tabs>
    </w:pPr>
    <w:r>
      <w:drawing>
        <wp:inline distT="0" distB="0" distL="0" distR="0">
          <wp:extent cx="91440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cs="Inter" w:eastAsia="Inter" w:hAnsi="Inter"/>
        <w:b/>
        <w:bCs/>
        <w:color w:val="1A365D"/>
        <w:sz w:val="20"/>
        <w:szCs w:val="20"/>
      </w:rPr>
      <w:t xml:space="preserve">	Lista de Cotejo y Rúbrica · Kit Programa Analítico NEM</w:t>
    </w:r>
    <w:r>
      <w:drawing>
        <wp:anchor distT="0" distB="0" distL="0" distR="0" simplePos="0" allowOverlap="1" behindDoc="1" locked="0" layoutInCell="1" relativeHeight="361950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619500" cy="36195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3619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image" Target="media/a38009a8e307c28e3e50b84435f5cbffba94023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38009a8e307c28e3e50b84435f5cbffba940235.png"/><Relationship Id="rId1" Type="http://schemas.openxmlformats.org/officeDocument/2006/relationships/image" Target="media/a6fbe362ed419c668850ea72f6bb8d0ea1cf67ba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2026-07-18T16:13:22.405Z</dcterms:created>
  <dcterms:modified xsi:type="dcterms:W3CDTF">2026-07-18T16:13:22.405Z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