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800"/>
        <w:jc w:val="center"/>
      </w:pPr>
      <w:r>
        <w:drawing>
          <wp:inline distT="0" distB="0" distL="0" distR="0">
            <wp:extent cx="3238500" cy="121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erriweather" w:cs="Merriweather" w:eastAsia="Merriweather" w:hAnsi="Merriweather"/>
          <w:b/>
          <w:bCs/>
          <w:color w:val="1A365D"/>
          <w:sz w:val="52"/>
          <w:szCs w:val="52"/>
        </w:rPr>
        <w:t xml:space="preserve">Mini-curso + Prompts curados</w:t>
      </w:r>
    </w:p>
    <w:p>
      <w:pPr>
        <w:spacing w:after="1200"/>
        <w:jc w:val="center"/>
      </w:pPr>
      <w:r>
        <w:rPr>
          <w:rFonts w:ascii="Inter" w:cs="Inter" w:eastAsia="Inter" w:hAnsi="Inter"/>
          <w:i/>
          <w:iCs/>
          <w:color w:val="5A5A5A"/>
          <w:sz w:val="26"/>
          <w:szCs w:val="26"/>
        </w:rPr>
        <w:t xml:space="preserve">“Tu programa analítico con IA, sin perderte” — guiones de las 4 lecciones y los 8 prompts</w:t>
      </w:r>
    </w:p>
    <w:p>
      <w:pPr>
        <w:spacing w:after="100"/>
        <w:jc w:val="center"/>
      </w:pPr>
      <w:r>
        <w:rPr>
          <w:rFonts w:ascii="Inter" w:cs="Inter" w:eastAsia="Inter" w:hAnsi="Inter"/>
          <w:b/>
          <w:bCs/>
          <w:color w:val="1A365D"/>
          <w:sz w:val="24"/>
          <w:szCs w:val="24"/>
        </w:rPr>
        <w:t xml:space="preserve">Kit Programa Analítico NEM</w:t>
      </w:r>
    </w:p>
    <w:p>
      <w:pPr>
        <w:jc w:val="center"/>
      </w:pPr>
      <w:r>
        <w:rPr>
          <w:rFonts w:ascii="Inter" w:cs="Inter" w:eastAsia="Inter" w:hAnsi="Inter"/>
          <w:color w:val="5A5A5A"/>
          <w:sz w:val="20"/>
          <w:szCs w:val="20"/>
        </w:rPr>
        <w:t xml:space="preserve">Pieza 5 de 5  ·  Contenidos transcritos y verificados contra los documentos oficiales públicos</w:t>
      </w:r>
    </w:p>
    <w:p>
      <w:pPr>
        <w:spacing w:before="600"/>
        <w:jc w:val="center"/>
      </w:pPr>
      <w:r>
        <w:rPr>
          <w:rFonts w:ascii="Merriweather" w:cs="Merriweather" w:eastAsia="Merriweather" w:hAnsi="Merriweather"/>
          <w:i/>
          <w:iCs/>
          <w:color w:val="E05A47"/>
          <w:sz w:val="22"/>
          <w:szCs w:val="22"/>
        </w:rPr>
        <w:t xml:space="preserve">Menos desgaste administrativo. Más tiempo para enseñar.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Merriweather" w:cs="Merriweather" w:eastAsia="Merriweather" w:hAnsi="Merriweather"/>
          <w:b/>
          <w:bCs/>
          <w:color w:val="1A365D"/>
          <w:sz w:val="30"/>
          <w:szCs w:val="30"/>
        </w:rPr>
        <w:t xml:space="preserve">Parte A · Las 4 lecciones (5-7 min cada una)</w:t>
      </w:r>
    </w:p>
    <w:p>
      <w:pPr>
        <w:pStyle w:val="Heading2"/>
        <w:spacing w:after="140" w:before="240"/>
      </w:pPr>
      <w:r>
        <w:rPr>
          <w:rFonts w:ascii="Merriweather" w:cs="Merriweather" w:eastAsia="Merriweather" w:hAnsi="Merriweather"/>
          <w:b/>
          <w:bCs/>
          <w:color w:val="D4AF37"/>
          <w:sz w:val="25"/>
          <w:szCs w:val="25"/>
        </w:rPr>
        <w:t xml:space="preserve">L1 · Qué te están pidiendo en realidad</w:t>
      </w:r>
    </w:p>
    <w:p>
      <w:pPr>
        <w:spacing w:after="160" w:before="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22222"/>
          <w:sz w:val="22"/>
          <w:szCs w:val="22"/>
        </w:rPr>
        <w:t xml:space="preserve">Gancho: “¿Llevas días con el programa analítico y sientes que no avanzas? No es tu culpa — nadie te explicó la diferencia clave.” → programa analítico (colectivo, general) vs. planeación didáctica (tuya, concreta) → los 3 planos como mapa → “no existe formato oficial único; existe un método”. Micro-desafío: escribe en 3 líneas cómo aplica la distinción en TU escuela.</w:t>
      </w:r>
    </w:p>
    <w:p>
      <w:pPr>
        <w:pStyle w:val="Heading2"/>
        <w:spacing w:after="140" w:before="240"/>
      </w:pPr>
      <w:r>
        <w:rPr>
          <w:rFonts w:ascii="Merriweather" w:cs="Merriweather" w:eastAsia="Merriweather" w:hAnsi="Merriweather"/>
          <w:b/>
          <w:bCs/>
          <w:color w:val="D4AF37"/>
          <w:sz w:val="25"/>
          <w:szCs w:val="25"/>
        </w:rPr>
        <w:t xml:space="preserve">L2 · El diagnóstico en 2 sesiones</w:t>
      </w:r>
    </w:p>
    <w:p>
      <w:pPr>
        <w:spacing w:after="160" w:before="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El dato del 15,9% → la ficha de caracterización (qué llenar en colectivo, qué solo) → el cuestionario por fase → la rutina Veo-Pienso-Me pregunto. Micro-desafío: aplica la ficha y trae 3 hallazgos que te sorprendan.</w:t>
      </w:r>
    </w:p>
    <w:p>
      <w:pPr>
        <w:pStyle w:val="Heading2"/>
        <w:spacing w:after="140" w:before="240"/>
      </w:pPr>
      <w:r>
        <w:rPr>
          <w:rFonts w:ascii="Merriweather" w:cs="Merriweather" w:eastAsia="Merriweather" w:hAnsi="Merriweather"/>
          <w:b/>
          <w:bCs/>
          <w:color w:val="D4AF37"/>
          <w:sz w:val="25"/>
          <w:szCs w:val="25"/>
        </w:rPr>
        <w:t xml:space="preserve">L3 · La decisión trinaria con el banco citado</w:t>
      </w:r>
    </w:p>
    <w:p>
      <w:pPr>
        <w:spacing w:after="160" w:before="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Cómo usar el banco de contenidos y PDA (“no confíes en lo que una IA recuerde; confía en lo que el documento dice”) → la matriz en vivo con un contenido de Lenguajes → el error de la evidencia vacía. Micro-desafío: completa la decisión trinaria de UN campo formativo.</w:t>
      </w:r>
    </w:p>
    <w:p>
      <w:pPr>
        <w:pStyle w:val="Heading2"/>
        <w:spacing w:after="140" w:before="240"/>
      </w:pPr>
      <w:r>
        <w:rPr>
          <w:rFonts w:ascii="Merriweather" w:cs="Merriweather" w:eastAsia="Merriweather" w:hAnsi="Merriweather"/>
          <w:b/>
          <w:bCs/>
          <w:color w:val="D4AF37"/>
          <w:sz w:val="25"/>
          <w:szCs w:val="25"/>
        </w:rPr>
        <w:t xml:space="preserve">L4 · Armar, cotejar y presentar</w:t>
      </w:r>
    </w:p>
    <w:p>
      <w:pPr>
        <w:spacing w:after="160" w:before="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La plantilla de 3 planos → la lista de cotejo (los 5 errores) → presentar al CTE → el programa como instrumento vivo. Micro-desafío: pasa la lista de cotejo y detecta tus 2 ítems débiles. Cierre: escalera a la formación completa en IA docente.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Merriweather" w:cs="Merriweather" w:eastAsia="Merriweather" w:hAnsi="Merriweather"/>
          <w:b/>
          <w:bCs/>
          <w:color w:val="1A365D"/>
          <w:sz w:val="30"/>
          <w:szCs w:val="30"/>
        </w:rPr>
        <w:t xml:space="preserve">Parte B · Los 8 prompts (funcionan en cualquier IA)</w:t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333333"/>
                <w:sz w:val="21"/>
                <w:szCs w:val="21"/>
              </w:rPr>
              <w:t xml:space="preserve">La regla de la casa: nunca le pidas a una IA que “haga tu programa analítico”. Le pides que trabaje SOBRE tus insumos: tu diagnóstico y los contenidos citados del banco. La IA redacta y ordena; tú decides. Eso es lo que el CTE (y la norma) esperan de ti.</w:t>
            </w:r>
          </w:p>
        </w:tc>
      </w:tr>
    </w:tbl>
    <w:p>
      <w:pPr>
        <w:pStyle w:val="Heading2"/>
        <w:spacing w:after="140" w:before="240"/>
      </w:pPr>
      <w:r>
        <w:rPr>
          <w:rFonts w:ascii="Merriweather" w:cs="Merriweather" w:eastAsia="Merriweather" w:hAnsi="Merriweather"/>
          <w:b/>
          <w:bCs/>
          <w:color w:val="D4AF37"/>
          <w:sz w:val="25"/>
          <w:szCs w:val="25"/>
        </w:rPr>
        <w:t xml:space="preserve">1 · Sintetizar el diagnóstico</w:t>
      </w:r>
    </w:p>
    <w:p>
      <w:pPr>
        <w:spacing w:after="160" w:before="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“Te comparto las respuestas de mi ficha de contexto y mi cuestionario de intereses [pegar]. Sintetiza en máximo 5 retos priorizados, citando qué dato sustenta cada uno. No inventes datos que no te di.”</w:t>
      </w:r>
    </w:p>
    <w:p>
      <w:pPr>
        <w:pStyle w:val="Heading2"/>
        <w:spacing w:after="140" w:before="240"/>
      </w:pPr>
      <w:r>
        <w:rPr>
          <w:rFonts w:ascii="Merriweather" w:cs="Merriweather" w:eastAsia="Merriweather" w:hAnsi="Merriweather"/>
          <w:b/>
          <w:bCs/>
          <w:color w:val="D4AF37"/>
          <w:sz w:val="25"/>
          <w:szCs w:val="25"/>
        </w:rPr>
        <w:t xml:space="preserve">2 · Vaciar intereses por campo</w:t>
      </w:r>
    </w:p>
    <w:p>
      <w:pPr>
        <w:spacing w:after="160" w:before="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“Agrupa estos intereses del alumnado [pegar] en los 4 campos formativos de la NEM. Si un interés no encaja claramente, márcalo aparte — no lo fuerces.”</w:t>
      </w:r>
    </w:p>
    <w:p>
      <w:pPr>
        <w:pStyle w:val="Heading2"/>
        <w:spacing w:after="140" w:before="240"/>
      </w:pPr>
      <w:r>
        <w:rPr>
          <w:rFonts w:ascii="Merriweather" w:cs="Merriweather" w:eastAsia="Merriweather" w:hAnsi="Merriweather"/>
          <w:b/>
          <w:bCs/>
          <w:color w:val="D4AF37"/>
          <w:sz w:val="25"/>
          <w:szCs w:val="25"/>
        </w:rPr>
        <w:t xml:space="preserve">3 · Decisión trinaria asistida</w:t>
      </w:r>
    </w:p>
    <w:p>
      <w:pPr>
        <w:spacing w:after="160" w:before="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“Para este contenido y PDA citados del Programa Sintético [pegar del banco], y estos retos de mi diagnóstico [pegar], proponme si el contenido se mantiene, se contextualiza o amerita incorporar algo local. Justifica con MI evidencia y dame la redacción para la matriz.”</w:t>
      </w:r>
    </w:p>
    <w:p>
      <w:pPr>
        <w:pStyle w:val="Heading2"/>
        <w:spacing w:after="140" w:before="240"/>
      </w:pPr>
      <w:r>
        <w:rPr>
          <w:rFonts w:ascii="Merriweather" w:cs="Merriweather" w:eastAsia="Merriweather" w:hAnsi="Merriweather"/>
          <w:b/>
          <w:bCs/>
          <w:color w:val="D4AF37"/>
          <w:sz w:val="25"/>
          <w:szCs w:val="25"/>
        </w:rPr>
        <w:t xml:space="preserve">4 · Redactar la contextualización</w:t>
      </w:r>
    </w:p>
    <w:p>
      <w:pPr>
        <w:spacing w:after="160" w:before="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“Convierte esta decisión [pegar fila de la matriz] en un párrafo claro para el plano 2 de mi programa analítico. Mantén la cita textual del contenido.”</w:t>
      </w:r>
    </w:p>
    <w:p>
      <w:pPr>
        <w:pStyle w:val="Heading2"/>
        <w:spacing w:after="140" w:before="240"/>
      </w:pPr>
      <w:r>
        <w:rPr>
          <w:rFonts w:ascii="Merriweather" w:cs="Merriweather" w:eastAsia="Merriweather" w:hAnsi="Merriweather"/>
          <w:b/>
          <w:bCs/>
          <w:color w:val="D4AF37"/>
          <w:sz w:val="25"/>
          <w:szCs w:val="25"/>
        </w:rPr>
        <w:t xml:space="preserve">5 · Secuenciar</w:t>
      </w:r>
    </w:p>
    <w:p>
      <w:pPr>
        <w:spacing w:after="160" w:before="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“Con estas decisiones del campo [X] [pegar], proponme una secuenciación por trimestres para el ciclo escolar, explicando el criterio de orden. Recuerda: la norma no trae secuencia oficial — el criterio es nuestro.”</w:t>
      </w:r>
    </w:p>
    <w:p>
      <w:pPr>
        <w:pStyle w:val="Heading2"/>
        <w:spacing w:after="140" w:before="240"/>
      </w:pPr>
      <w:r>
        <w:rPr>
          <w:rFonts w:ascii="Merriweather" w:cs="Merriweather" w:eastAsia="Merriweather" w:hAnsi="Merriweather"/>
          <w:b/>
          <w:bCs/>
          <w:color w:val="D4AF37"/>
          <w:sz w:val="25"/>
          <w:szCs w:val="25"/>
        </w:rPr>
        <w:t xml:space="preserve">6 · Activar ejes sin adorno</w:t>
      </w:r>
    </w:p>
    <w:p>
      <w:pPr>
        <w:spacing w:after="160" w:before="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“De los 7 ejes articuladores de la NEM, ¿cuáles operan de forma natural en estos contenidos ya contextualizados [pegar]? Para cada eje, di en qué actividad concreta se materializa. Máximo 3 ejes.”</w:t>
      </w:r>
    </w:p>
    <w:p>
      <w:pPr>
        <w:pStyle w:val="Heading2"/>
        <w:spacing w:after="140" w:before="240"/>
      </w:pPr>
      <w:r>
        <w:rPr>
          <w:rFonts w:ascii="Merriweather" w:cs="Merriweather" w:eastAsia="Merriweather" w:hAnsi="Merriweather"/>
          <w:b/>
          <w:bCs/>
          <w:color w:val="D4AF37"/>
          <w:sz w:val="25"/>
          <w:szCs w:val="25"/>
        </w:rPr>
        <w:t xml:space="preserve">7 · Autoevaluar</w:t>
      </w:r>
    </w:p>
    <w:p>
      <w:pPr>
        <w:spacing w:after="160" w:before="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“Revisa este borrador [pegar] contra esta lista de cotejo [pegar los 10 ítems]. Señala ítem por ítem qué está completo, parcial o ausente, citando la parte del texto que lo demuestra.”</w:t>
      </w:r>
    </w:p>
    <w:p>
      <w:pPr>
        <w:pStyle w:val="Heading2"/>
        <w:spacing w:after="140" w:before="240"/>
      </w:pPr>
      <w:r>
        <w:rPr>
          <w:rFonts w:ascii="Merriweather" w:cs="Merriweather" w:eastAsia="Merriweather" w:hAnsi="Merriweather"/>
          <w:b/>
          <w:bCs/>
          <w:color w:val="D4AF37"/>
          <w:sz w:val="25"/>
          <w:szCs w:val="25"/>
        </w:rPr>
        <w:t xml:space="preserve">8 · Preparar la presentación al CTE</w:t>
      </w:r>
    </w:p>
    <w:p>
      <w:pPr>
        <w:spacing w:after="160" w:before="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“Convierte este programa analítico [pegar] en un guion de presentación de 10 minutos para mi CTE, estructurado por los 3 planos, destacando las decisiones que tomamos y su evidencia.”</w:t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333333"/>
                <w:sz w:val="21"/>
                <w:szCs w:val="21"/>
              </w:rPr>
              <w:t xml:space="preserve">Cada prompt tiene una versión “qué puede salir mal” en la formación completa — ahí aprendes a detectar cuándo la IA te está inventando normativa (pista: pídele siempre la cita).</w:t>
            </w:r>
          </w:p>
        </w:tc>
      </w:tr>
    </w:tbl>
    <w:sectPr>
      <w:headerReference w:type="default" r:id="rId7"/>
      <w:headerReference w:type="first" r:id="rId8"/>
      <w:pgSz w:w="12240" w:h="15840" w:orient="portrait"/>
      <w:pgMar w:top="1200" w:right="1440" w:bottom="12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F37" w:sz="8" w:space="4"/>
      </w:pBdr>
      <w:tabs>
        <w:tab w:val="right" w:pos="9026"/>
      </w:tabs>
    </w:pPr>
    <w:r>
      <w:drawing>
        <wp:inline distT="0" distB="0" distL="0" distR="0">
          <wp:extent cx="914400" cy="3429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nter" w:cs="Inter" w:eastAsia="Inter" w:hAnsi="Inter"/>
        <w:b/>
        <w:bCs/>
        <w:color w:val="1A365D"/>
        <w:sz w:val="20"/>
        <w:szCs w:val="20"/>
      </w:rPr>
      <w:t xml:space="preserve">	Mini-curso y Prompts · Kit Programa Analítico NEM</w:t>
    </w:r>
    <w:r>
      <w:drawing>
        <wp:anchor distT="0" distB="0" distL="0" distR="0" simplePos="0" allowOverlap="1" behindDoc="1" locked="0" layoutInCell="1" relativeHeight="361950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619500" cy="36195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3619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image" Target="media/a38009a8e307c28e3e50b84435f5cbffba94023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38009a8e307c28e3e50b84435f5cbffba940235.png"/><Relationship Id="rId1" Type="http://schemas.openxmlformats.org/officeDocument/2006/relationships/image" Target="media/a6fbe362ed419c668850ea72f6bb8d0ea1cf67ba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2026-07-18T16:13:22.464Z</dcterms:created>
  <dcterms:modified xsi:type="dcterms:W3CDTF">2026-07-18T16:13:22.464Z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