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800"/>
        <w:jc w:val="center"/>
      </w:pPr>
      <w:r>
        <w:drawing>
          <wp:inline distT="0" distB="0" distL="0" distR="0">
            <wp:extent cx="3238500" cy="1219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erriweather" w:cs="Merriweather" w:eastAsia="Merriweather" w:hAnsi="Merriweather"/>
          <w:b/>
          <w:bCs/>
          <w:color w:val="1A365D"/>
          <w:sz w:val="48"/>
          <w:szCs w:val="48"/>
        </w:rPr>
        <w:t xml:space="preserve">La lista de cotejo</w:t>
      </w:r>
    </w:p>
    <w:p>
      <w:pPr>
        <w:spacing w:after="900"/>
        <w:jc w:val="center"/>
      </w:pPr>
      <w:r>
        <w:rPr>
          <w:rFonts w:ascii="Inter" w:cs="Inter" w:eastAsia="Inter" w:hAnsi="Inter"/>
          <w:i/>
          <w:iCs/>
          <w:color w:val="5A5A5A"/>
          <w:sz w:val="26"/>
          <w:szCs w:val="26"/>
        </w:rPr>
        <w:t xml:space="preserve">¿Mi resultado de aprendizaje resiste una revisión? · 12 ítems</w:t>
      </w:r>
    </w:p>
    <w:p>
      <w:pPr>
        <w:jc w:val="center"/>
      </w:pPr>
      <w:r>
        <w:rPr>
          <w:rFonts w:ascii="Inter" w:cs="Inter" w:eastAsia="Inter" w:hAnsi="Inter"/>
          <w:b/>
          <w:bCs/>
          <w:color w:val="1A365D"/>
          <w:sz w:val="22"/>
          <w:szCs w:val="22"/>
        </w:rPr>
        <w:t xml:space="preserve">Resultados de Aprendizaje a Prueba de Revisión · Verificado contra el texto oficial publicado en el DOF el 1 de marzo de 2024</w:t>
      </w:r>
    </w:p>
    <w:p>
      <w:pPr>
        <w:spacing w:before="500"/>
        <w:jc w:val="center"/>
      </w:pPr>
      <w:r>
        <w:rPr>
          <w:rFonts w:ascii="Merriweather" w:cs="Merriweather" w:eastAsia="Merriweather" w:hAnsi="Merriweather"/>
          <w:i/>
          <w:iCs/>
          <w:color w:val="E05A47"/>
          <w:sz w:val="22"/>
          <w:szCs w:val="22"/>
        </w:rPr>
        <w:t xml:space="preserve">Menos desgaste administrativo. Más tiempo para enseñar.</w:t>
      </w:r>
    </w:p>
    <w:p>
      <w:r>
        <w:br w:type="page"/>
      </w:r>
    </w:p>
    <w:p>
      <w:pPr>
        <w:pStyle w:val="Heading2"/>
        <w:spacing w:after="140" w:before="220"/>
      </w:pPr>
      <w:r>
        <w:rPr>
          <w:rFonts w:ascii="Merriweather" w:cs="Merriweather" w:eastAsia="Merriweather" w:hAnsi="Merriweather"/>
          <w:b/>
          <w:bCs/>
          <w:color w:val="D4AF37"/>
          <w:sz w:val="24"/>
          <w:szCs w:val="24"/>
        </w:rPr>
        <w:t xml:space="preserve">Cómo usarla
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1. Tenga a la mano el documento donde están sus resultados de aprendizaje actuales (programa de
    asignatura, carta descriptiva, syllabus, plan de estudios).
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2. Copie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un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resultado en la línea de abajo. Uno solo. No intente revisar todos a la vez.
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3. Marque cada ítem: ✅ cumple · ⚠️ a medias · ❌ no cumple.
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4. Lea el veredicto al final.
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5. Repita con el siguiente.
</w:t>
      </w:r>
    </w:p>
    <w:tbl>
      <w:tblPr>
        <w:tblW w:type="dxa" w:w="9360"/>
        <w:tblBorders>
          <w:top w:val="single" w:color="D4AF37" w:sz="4"/>
          <w:left w:val="single" w:color="D4AF37" w:sz="16"/>
          <w:bottom w:val="single" w:color="D4AF37" w:sz="4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📌 Imprima una copia por cada resultado que vaya a revisar, o duplique la tabla en su documento.
 El kit está hecho para trabajarse en papel si usted prefiere — no necesita estar conectada.
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Resultado de aprendizaje que estoy revisando: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
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_______________________________________________________________________________
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_______________________________________________________________________________
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Nivel del MNC de mi programa (pieza 2):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______
</w:t>
      </w:r>
    </w:p>
    <w:p>
      <w:pPr>
        <w:pStyle w:val="Heading2"/>
        <w:spacing w:after="140" w:before="220"/>
      </w:pPr>
      <w:r>
        <w:rPr>
          <w:rFonts w:ascii="Merriweather" w:cs="Merriweather" w:eastAsia="Merriweather" w:hAnsi="Merriweather"/>
          <w:b/>
          <w:bCs/>
          <w:color w:val="D4AF37"/>
          <w:sz w:val="24"/>
          <w:szCs w:val="24"/>
        </w:rPr>
        <w:t xml:space="preserve">A · ¿Está centrado en el estudiante?
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12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Ítem</w:t>
            </w:r>
          </w:p>
        </w:tc>
        <w:tc>
          <w:tcPr>
            <w:tcW w:type="dxa" w:w="312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✅⚠️❌</w:t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El sujeto de la oración es </w:t>
            </w: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el estudiante</w:t>
            </w: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, no el docente ni el curso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No empieza con "el curso pretende", "se busca que", "el docente enseñará"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</w:tr>
    </w:tbl>
    <w:p>
      <w:pPr>
        <w:spacing w:after="80"/>
      </w:pPr>
    </w:p>
    <w:p>
      <w:pPr>
        <w:pStyle w:val="Heading2"/>
        <w:spacing w:after="140" w:before="220"/>
      </w:pPr>
      <w:r>
        <w:rPr>
          <w:rFonts w:ascii="Merriweather" w:cs="Merriweather" w:eastAsia="Merriweather" w:hAnsi="Merriweather"/>
          <w:b/>
          <w:bCs/>
          <w:color w:val="D4AF37"/>
          <w:sz w:val="24"/>
          <w:szCs w:val="24"/>
        </w:rPr>
        <w:t xml:space="preserve">B · ¿Se puede ver?
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12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Ítem</w:t>
            </w:r>
          </w:p>
        </w:tc>
        <w:tc>
          <w:tcPr>
            <w:tcW w:type="dxa" w:w="312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✅⚠️❌</w:t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El verbo describe una </w:t>
            </w: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acción observable</w:t>
            </w: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 (algo que alguien puede ver, leer u oír)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El verbo </w:t>
            </w: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no</w:t>
            </w: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 está en la lista negra: conocer, comprender, saber, apreciar, interiorizar, concientizar, sensibilizar, reflexionar sobre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El verbo está en </w:t>
            </w: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tercera persona del presente</w:t>
            </w: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: </w:t>
            </w:r>
            <w:r>
              <w:rPr>
                <w:rFonts w:ascii="Inter" w:cs="Inter" w:eastAsia="Inter" w:hAnsi="Inter"/>
                <w:i/>
                <w:iCs/>
                <w:color w:val="222222"/>
                <w:sz w:val="18"/>
                <w:szCs w:val="18"/>
              </w:rPr>
              <w:t xml:space="preserve">analiza, construye, argumenta</w:t>
            </w: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 — no "analizará" ni "será capaz de analizar"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</w:tr>
    </w:tbl>
    <w:p>
      <w:pPr>
        <w:spacing w:after="80"/>
      </w:pPr>
    </w:p>
    <w:p>
      <w:pPr>
        <w:pStyle w:val="Heading2"/>
        <w:spacing w:after="140" w:before="220"/>
      </w:pPr>
      <w:r>
        <w:rPr>
          <w:rFonts w:ascii="Merriweather" w:cs="Merriweather" w:eastAsia="Merriweather" w:hAnsi="Merriweather"/>
          <w:b/>
          <w:bCs/>
          <w:color w:val="D4AF37"/>
          <w:sz w:val="24"/>
          <w:szCs w:val="24"/>
        </w:rPr>
        <w:t xml:space="preserve">C · ¿Está completo?
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12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Ítem</w:t>
            </w:r>
          </w:p>
        </w:tc>
        <w:tc>
          <w:tcPr>
            <w:tcW w:type="dxa" w:w="312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✅⚠️❌</w:t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Tiene </w:t>
            </w: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verbo</w:t>
            </w: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 (qué hace)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Tiene </w:t>
            </w: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objeto</w:t>
            </w: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 (sobre qué saber o contenido)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Tiene </w:t>
            </w: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contexto o condición</w:t>
            </w: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 (bajo qué circunstancias, con qué recursos, para qué)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</w:tr>
    </w:tbl>
    <w:p>
      <w:pPr>
        <w:spacing w:after="80"/>
      </w:pPr>
    </w:p>
    <w:p>
      <w:pPr>
        <w:pStyle w:val="Heading2"/>
        <w:spacing w:after="140" w:before="220"/>
      </w:pPr>
      <w:r>
        <w:rPr>
          <w:rFonts w:ascii="Merriweather" w:cs="Merriweather" w:eastAsia="Merriweather" w:hAnsi="Merriweather"/>
          <w:b/>
          <w:bCs/>
          <w:color w:val="D4AF37"/>
          <w:sz w:val="24"/>
          <w:szCs w:val="24"/>
        </w:rPr>
        <w:t xml:space="preserve">D · ¿Corresponde al nivel?
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12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Ítem</w:t>
            </w:r>
          </w:p>
        </w:tc>
        <w:tc>
          <w:tcPr>
            <w:tcW w:type="dxa" w:w="312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✅⚠️❌</w:t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9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El tipo de problema que plantea corresponde al nivel del MNC de mi programa (pieza 2)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10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El grado de autonomía esperado corresponde al nivel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</w:tr>
    </w:tbl>
    <w:p>
      <w:pPr>
        <w:spacing w:after="80"/>
      </w:pPr>
    </w:p>
    <w:p>
      <w:pPr>
        <w:pStyle w:val="Heading2"/>
        <w:spacing w:after="140" w:before="220"/>
      </w:pPr>
      <w:r>
        <w:rPr>
          <w:rFonts w:ascii="Merriweather" w:cs="Merriweather" w:eastAsia="Merriweather" w:hAnsi="Merriweather"/>
          <w:b/>
          <w:bCs/>
          <w:color w:val="D4AF37"/>
          <w:sz w:val="24"/>
          <w:szCs w:val="24"/>
        </w:rPr>
        <w:t xml:space="preserve">E · ¿Se puede comprobar?
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12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Ítem</w:t>
            </w:r>
          </w:p>
        </w:tc>
        <w:tc>
          <w:tcPr>
            <w:tcW w:type="dxa" w:w="312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✅⚠️❌</w:t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11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Puedo nombrar </w:t>
            </w: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la evidencia concreta</w:t>
            </w: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 con la que sabría que se logró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12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Es </w:t>
            </w: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alcanzable</w:t>
            </w: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 en el tiempo real del curso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</w:tr>
    </w:tbl>
    <w:p>
      <w:pPr>
        <w:spacing w:after="80"/>
      </w:pPr>
    </w:p>
    <w:p>
      <w:pPr>
        <w:pStyle w:val="Heading2"/>
        <w:spacing w:after="140" w:before="220"/>
      </w:pPr>
      <w:r>
        <w:rPr>
          <w:rFonts w:ascii="Merriweather" w:cs="Merriweather" w:eastAsia="Merriweather" w:hAnsi="Merriweather"/>
          <w:b/>
          <w:bCs/>
          <w:color w:val="D4AF37"/>
          <w:sz w:val="24"/>
          <w:szCs w:val="24"/>
        </w:rPr>
        <w:t xml:space="preserve">Veredicto
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  <w:tc>
          <w:tcPr>
            <w:tcW w:type="dxa" w:w="312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Lectura</w:t>
            </w:r>
          </w:p>
        </w:tc>
        <w:tc>
          <w:tcPr>
            <w:tcW w:type="dxa" w:w="312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Qué hacer</w:t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11-12 ✅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Resiste revisión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Consérvelo. Úselo como modelo para reescribir los demás</w:t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8-10 ✅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Pasa, pero con observaciones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Corrija los ⚠️ con la pieza 5. Empiece por el bloque C</w:t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5-7 ✅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No resiste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Reescríbalo completo con la plantilla de la pieza 5</w:t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menos de 5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No es un resultado de aprendizaje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Probablemente es un objetivo o un contenido. Reescríbalo desde cero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D4AF37" w:sz="4"/>
          <w:left w:val="single" w:color="D4AF37" w:sz="16"/>
          <w:bottom w:val="single" w:color="D4AF37" w:sz="4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💭 </w:t>
            </w:r>
            <w:r>
              <w:rPr>
                <w:rFonts w:ascii="Inter" w:cs="Inter" w:eastAsia="Inter" w:hAnsi="Inter"/>
                <w:b/>
                <w:bCs/>
                <w:color w:val="222222"/>
                <w:sz w:val="20"/>
                <w:szCs w:val="20"/>
              </w:rPr>
              <w:t xml:space="preserve">El bloque que más falla es el C</w:t>
            </w: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, y casi siempre por el ítem 8: el contexto. La mayoría de
 los resultados que se entregan tienen verbo y objeto — </w:t>
            </w:r>
            <w:r>
              <w:rPr>
                <w:rFonts w:ascii="Inter" w:cs="Inter" w:eastAsia="Inter" w:hAnsi="Inter"/>
                <w:i/>
                <w:iCs/>
                <w:color w:val="444444"/>
                <w:sz w:val="20"/>
                <w:szCs w:val="20"/>
              </w:rPr>
              <w:t xml:space="preserve">"analiza los estados financieros"</w:t>
            </w: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— y
 nada más. Sin contexto, dos evaluadores distintos entienden dos cosas distintas, y esa ambigüedad
 es exactamente lo que una revisión señala.
</w:t>
            </w:r>
          </w:p>
        </w:tc>
      </w:tr>
    </w:tbl>
    <w:p>
      <w:pPr>
        <w:spacing w:after="80"/>
      </w:pPr>
    </w:p>
    <w:p>
      <w:pPr>
        <w:pStyle w:val="Heading2"/>
        <w:spacing w:after="140" w:before="220"/>
      </w:pPr>
      <w:r>
        <w:rPr>
          <w:rFonts w:ascii="Merriweather" w:cs="Merriweather" w:eastAsia="Merriweather" w:hAnsi="Merriweather"/>
          <w:b/>
          <w:bCs/>
          <w:color w:val="D4AF37"/>
          <w:sz w:val="24"/>
          <w:szCs w:val="24"/>
        </w:rPr>
        <w:t xml:space="preserve">¿Cuántos resultados debe tener mi curso?
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No hay número obligatorio: el marco no lo fija. El criterio profesional razonable es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entre 4 y 8
 bien formulados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para un curso o asignatura.
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Menos es más. Ocho resultados que usted puede evaluar valen más que veinte que nadie va a revisar
 nunca — y una lista larga es, en sí misma, una señal de que no se decidió qué es lo esencial.
</w:t>
      </w:r>
    </w:p>
    <w:p>
      <w:pPr>
        <w:pStyle w:val="Heading2"/>
        <w:spacing w:after="140" w:before="220"/>
      </w:pPr>
      <w:r>
        <w:rPr>
          <w:rFonts w:ascii="Merriweather" w:cs="Merriweather" w:eastAsia="Merriweather" w:hAnsi="Merriweather"/>
          <w:b/>
          <w:bCs/>
          <w:color w:val="D4AF37"/>
          <w:sz w:val="24"/>
          <w:szCs w:val="24"/>
        </w:rPr>
        <w:t xml:space="preserve">Cuando termine con todos: falta una revisión más
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Esta lista revisa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un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resultado a la vez, y así hay que usarla. Pero hay una observación que no
 aparece nunca revisando uno por uno: si el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conjunto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de sus resultados evidencia las cuatro
 dimensiones que el MNC exige a su nivel.
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Se puede pasar esta lista con 12 ✅ en todos sus resultados y aun así estar acreditando un nivel más
 bajo, porque entre todos solo hablan de lo que el estudiante sabe y hace — y nada de cómo actúa ni
 de qué responde.
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👉 Esa revisión está en la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segunda parte de la pieza 5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. Se hace una sola vez, al final, y toma
 diez minutos.
</w:t>
      </w:r>
    </w:p>
    <w:p>
      <w:pPr>
        <w:spacing w:after="140"/>
      </w:pPr>
      <w:r>
        <w:rPr>
          <w:rFonts w:ascii="Inter" w:cs="Inter" w:eastAsia="Inter" w:hAnsi="Inter"/>
          <w:i/>
          <w:iCs/>
          <w:color w:val="444444"/>
          <w:sz w:val="22"/>
          <w:szCs w:val="22"/>
        </w:rPr>
        <w:t xml:space="preserve">Instrumento de Atenea Grupo Educativo. Los criterios de nivel del ítem 9 y 10 remiten al Acuerdo
 01/02/24 publicado en el DOF el 1 de marzo de 2024, verificado contra el documento oficial público.
 Obra independiente, sin aval ni vínculo con autoridad educativa alguna.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
</w:t>
      </w:r>
    </w:p>
    <w:sectPr>
      <w:headerReference w:type="default" r:id="rId7"/>
      <w:headerReference w:type="first" r:id="rId8"/>
      <w:pgSz w:w="12240" w:h="15840" w:orient="portrait"/>
      <w:pgMar w:top="1200" w:right="1440" w:bottom="120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F37" w:sz="8" w:space="4"/>
      </w:pBdr>
      <w:tabs>
        <w:tab w:val="right" w:pos="9026"/>
      </w:tabs>
    </w:pPr>
    <w:r>
      <w:drawing>
        <wp:inline distT="0" distB="0" distL="0" distR="0">
          <wp:extent cx="914400" cy="3429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34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Inter" w:cs="Inter" w:eastAsia="Inter" w:hAnsi="Inter"/>
        <w:b/>
        <w:bCs/>
        <w:color w:val="1A365D"/>
        <w:sz w:val="20"/>
        <w:szCs w:val="20"/>
      </w:rPr>
      <w:t xml:space="preserve">	La lista de cotejo · Atenea</w:t>
    </w:r>
    <w:r>
      <w:drawing>
        <wp:anchor distT="0" distB="0" distL="0" distR="0" simplePos="0" allowOverlap="1" behindDoc="1" locked="0" layoutInCell="1" relativeHeight="361950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619500" cy="361950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19500" cy="3619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image" Target="media/a38009a8e307c28e3e50b84435f5cbffba94023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38009a8e307c28e3e50b84435f5cbffba940235.png"/><Relationship Id="rId1" Type="http://schemas.openxmlformats.org/officeDocument/2006/relationships/image" Target="media/a6fbe362ed419c668850ea72f6bb8d0ea1cf67ba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2026-07-28T17:43:21.856Z</dcterms:created>
  <dcterms:modified xsi:type="dcterms:W3CDTF">2026-07-28T17:43:21.856Z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