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2F75B5"/>
          <w:sz w:val="18"/>
        </w:rPr>
        <w:t>INVESTIGACIÓN COMPARADA · JULIO 2026</w:t>
      </w:r>
    </w:p>
    <w:p>
      <w:pPr>
        <w:pStyle w:val="Title"/>
      </w:pPr>
      <w:r>
        <w:t>Necesidades, dolores y frustraciones de los docentes</w:t>
      </w:r>
    </w:p>
    <w:p>
      <w:pPr>
        <w:spacing w:after="240"/>
      </w:pPr>
      <w:r>
        <w:rPr>
          <w:rFonts w:ascii="Aptos" w:hAnsi="Aptos"/>
          <w:color w:val="5B6573"/>
          <w:sz w:val="28"/>
        </w:rPr>
        <w:t>Colombia, México, Chile y Perú · De educación inicial a educación superior</w:t>
      </w:r>
    </w:p>
    <w:tbl>
      <w:tblPr>
        <w:tblStyle w:val="TableGrid"/>
        <w:tblW w:type="dxa" w:w="14256"/>
        <w:jc w:val="left"/>
        <w:tblLayout w:type="fixed"/>
        <w:tblLook w:firstColumn="1" w:firstRow="1" w:lastColumn="0" w:lastRow="0" w:noHBand="0" w:noVBand="1" w:val="04A0"/>
        <w:tblInd w:w="120" w:type="dxa"/>
      </w:tblPr>
      <w:tblGrid>
        <w:gridCol w:w="4752"/>
        <w:gridCol w:w="4752"/>
        <w:gridCol w:w="4752"/>
      </w:tblGrid>
      <w:tr>
        <w:trPr>
          <w:tblHeader w:val="true"/>
        </w:trPr>
        <w:tc>
          <w:tcPr>
            <w:tcW w:type="dxa" w:w="4752"/>
            <w:shd w:fill="EAF1F8"/>
            <w:tcMar>
              <w:top w:w="110" w:type="dxa"/>
              <w:start w:w="160" w:type="dxa"/>
              <w:bottom w:w="90" w:type="dxa"/>
              <w:end w:w="160" w:type="dxa"/>
            </w:tcMar>
            <w:vAlign w:val="center"/>
          </w:tcPr>
          <w:p>
            <w:pPr>
              <w:spacing w:after="0"/>
              <w:jc w:val="center"/>
            </w:pPr>
            <w:r/>
            <w:r>
              <w:rPr>
                <w:rFonts w:ascii="Aptos" w:hAnsi="Aptos"/>
                <w:b/>
                <w:color w:val="17365D"/>
                <w:sz w:val="30"/>
              </w:rPr>
              <w:t>5 niveles</w:t>
            </w:r>
          </w:p>
        </w:tc>
        <w:tc>
          <w:tcPr>
            <w:tcW w:type="dxa" w:w="4752"/>
            <w:shd w:fill="EAF1F8"/>
            <w:tcMar>
              <w:top w:w="110" w:type="dxa"/>
              <w:start w:w="160" w:type="dxa"/>
              <w:bottom w:w="90" w:type="dxa"/>
              <w:end w:w="160" w:type="dxa"/>
            </w:tcMar>
            <w:vAlign w:val="center"/>
          </w:tcPr>
          <w:p>
            <w:pPr>
              <w:spacing w:after="0"/>
              <w:jc w:val="center"/>
            </w:pPr>
            <w:r/>
            <w:r>
              <w:rPr>
                <w:rFonts w:ascii="Aptos" w:hAnsi="Aptos"/>
                <w:b/>
                <w:color w:val="17365D"/>
                <w:sz w:val="30"/>
              </w:rPr>
              <w:t>4 países</w:t>
            </w:r>
          </w:p>
        </w:tc>
        <w:tc>
          <w:tcPr>
            <w:tcW w:type="dxa" w:w="4752"/>
            <w:shd w:fill="EAF1F8"/>
            <w:tcMar>
              <w:top w:w="110" w:type="dxa"/>
              <w:start w:w="160" w:type="dxa"/>
              <w:bottom w:w="90" w:type="dxa"/>
              <w:end w:w="160" w:type="dxa"/>
            </w:tcMar>
            <w:vAlign w:val="center"/>
          </w:tcPr>
          <w:p>
            <w:pPr>
              <w:spacing w:after="0"/>
              <w:jc w:val="center"/>
            </w:pPr>
            <w:r/>
            <w:r>
              <w:rPr>
                <w:rFonts w:ascii="Aptos" w:hAnsi="Aptos"/>
                <w:b/>
                <w:color w:val="17365D"/>
                <w:sz w:val="30"/>
              </w:rPr>
              <w:t>24 fuentes</w:t>
            </w:r>
          </w:p>
        </w:tc>
      </w:tr>
      <w:tr>
        <w:tc>
          <w:tcPr>
            <w:tcW w:type="dxa" w:w="4752"/>
            <w:shd w:fill="EAF1F8"/>
            <w:tcMar>
              <w:top w:w="150" w:type="dxa"/>
              <w:start w:w="160" w:type="dxa"/>
              <w:bottom w:w="150" w:type="dxa"/>
              <w:end w:w="160" w:type="dxa"/>
            </w:tcMar>
            <w:vAlign w:val="center"/>
          </w:tcPr>
          <w:p>
            <w:pPr>
              <w:spacing w:after="0"/>
              <w:jc w:val="center"/>
            </w:pPr>
            <w:r/>
            <w:r>
              <w:rPr>
                <w:rFonts w:ascii="Aptos" w:hAnsi="Aptos"/>
                <w:color w:val="5B6573"/>
                <w:sz w:val="17"/>
              </w:rPr>
              <w:t>Inicial/preescolar, primaria, secundaria/media, técnico-tecnológica y universitaria</w:t>
            </w:r>
          </w:p>
        </w:tc>
        <w:tc>
          <w:tcPr>
            <w:tcW w:type="dxa" w:w="4752"/>
            <w:shd w:fill="EAF1F8"/>
            <w:tcMar>
              <w:top w:w="150" w:type="dxa"/>
              <w:start w:w="160" w:type="dxa"/>
              <w:bottom w:w="150" w:type="dxa"/>
              <w:end w:w="160" w:type="dxa"/>
            </w:tcMar>
            <w:vAlign w:val="center"/>
          </w:tcPr>
          <w:p>
            <w:pPr>
              <w:spacing w:after="0"/>
              <w:jc w:val="center"/>
            </w:pPr>
            <w:r/>
            <w:r>
              <w:rPr>
                <w:rFonts w:ascii="Aptos" w:hAnsi="Aptos"/>
                <w:color w:val="5B6573"/>
                <w:sz w:val="17"/>
              </w:rPr>
              <w:t>Hallazgos comunes y diferencias regulatorias, territoriales y laborales</w:t>
            </w:r>
          </w:p>
        </w:tc>
        <w:tc>
          <w:tcPr>
            <w:tcW w:type="dxa" w:w="4752"/>
            <w:shd w:fill="EAF1F8"/>
            <w:tcMar>
              <w:top w:w="150" w:type="dxa"/>
              <w:start w:w="160" w:type="dxa"/>
              <w:bottom w:w="150" w:type="dxa"/>
              <w:end w:w="160" w:type="dxa"/>
            </w:tcMar>
            <w:vAlign w:val="center"/>
          </w:tcPr>
          <w:p>
            <w:pPr>
              <w:spacing w:after="0"/>
              <w:jc w:val="center"/>
            </w:pPr>
            <w:r/>
            <w:r>
              <w:rPr>
                <w:rFonts w:ascii="Aptos" w:hAnsi="Aptos"/>
                <w:color w:val="5B6573"/>
                <w:sz w:val="17"/>
              </w:rPr>
              <w:t>Prioridad a fuentes oficiales, encuestas nacionales, OCDE/OIT y estudios revisados por pares</w:t>
            </w:r>
          </w:p>
        </w:tc>
      </w:tr>
    </w:tbl>
    <w:p>
      <w:pPr>
        <w:pStyle w:val="Heading2"/>
      </w:pPr>
      <w:r>
        <w:t>Conclusión ejecutiva</w:t>
      </w:r>
    </w:p>
    <w:tbl>
      <w:tblPr>
        <w:tblStyle w:val="TableGrid"/>
        <w:tblW w:type="dxa" w:w="14256"/>
        <w:jc w:val="left"/>
        <w:tblLayout w:type="fixed"/>
        <w:tblLook w:firstColumn="1" w:firstRow="1" w:lastColumn="0" w:lastRow="0" w:noHBand="0" w:noVBand="1" w:val="04A0"/>
        <w:tblInd w:w="120" w:type="dxa"/>
      </w:tblPr>
      <w:tblGrid>
        <w:gridCol w:w="7128"/>
        <w:gridCol w:w="7128"/>
      </w:tblGrid>
      <w:tr>
        <w:trPr>
          <w:tblHeader w:val="true"/>
        </w:trPr>
        <w:tc>
          <w:tcPr>
            <w:tcW w:type="dxa" w:w="7128"/>
            <w:vAlign w:val="center"/>
            <w:tcMar>
              <w:top w:w="90" w:type="dxa"/>
              <w:start w:w="100" w:type="dxa"/>
              <w:bottom w:w="90" w:type="dxa"/>
              <w:end w:w="100" w:type="dxa"/>
            </w:tcMar>
            <w:shd w:fill="17365D"/>
          </w:tcPr>
          <w:p>
            <w:pPr>
              <w:spacing w:before="0" w:after="0" w:line="252" w:lineRule="auto"/>
            </w:pPr>
            <w:r/>
            <w:r>
              <w:rPr>
                <w:rFonts w:ascii="Aptos" w:hAnsi="Aptos"/>
                <w:b/>
                <w:color w:val="FFFFFF"/>
                <w:sz w:val="18"/>
              </w:rPr>
              <w:t>Dolor dominante</w:t>
            </w:r>
          </w:p>
        </w:tc>
        <w:tc>
          <w:tcPr>
            <w:tcW w:type="dxa" w:w="7128"/>
            <w:vAlign w:val="center"/>
            <w:tcMar>
              <w:top w:w="90" w:type="dxa"/>
              <w:start w:w="100" w:type="dxa"/>
              <w:bottom w:w="90" w:type="dxa"/>
              <w:end w:w="100" w:type="dxa"/>
            </w:tcMar>
            <w:shd w:fill="17365D"/>
          </w:tcPr>
          <w:p>
            <w:pPr>
              <w:spacing w:before="0" w:after="0" w:line="252" w:lineRule="auto"/>
            </w:pPr>
            <w:r/>
            <w:r>
              <w:rPr>
                <w:rFonts w:ascii="Aptos" w:hAnsi="Aptos"/>
                <w:b/>
                <w:color w:val="FFFFFF"/>
                <w:sz w:val="18"/>
              </w:rPr>
              <w:t>Necesidad dominante</w:t>
            </w:r>
          </w:p>
        </w:tc>
      </w:tr>
      <w:tr>
        <w:tc>
          <w:tcPr>
            <w:tcW w:type="dxa" w:w="7128"/>
            <w:vAlign w:val="center"/>
            <w:tcMar>
              <w:top w:w="90" w:type="dxa"/>
              <w:start w:w="100" w:type="dxa"/>
              <w:bottom w:w="90" w:type="dxa"/>
              <w:end w:w="100" w:type="dxa"/>
            </w:tcMar>
            <w:shd w:fill="FFFFFF"/>
          </w:tcPr>
          <w:p>
            <w:pPr>
              <w:spacing w:before="0" w:after="0" w:line="252" w:lineRule="auto"/>
            </w:pPr>
            <w:r/>
            <w:r>
              <w:rPr>
                <w:rFonts w:ascii="Aptos" w:hAnsi="Aptos"/>
                <w:b w:val="0"/>
                <w:color w:val="1F2937"/>
                <w:sz w:val="18"/>
              </w:rPr>
              <w:t>Dolor dominante: falta de tiempo de calidad. La planeación, evaluación, comunicación con familias y documentación compiten entre sí y se desplazan al tiempo personal. El problema no es solo el número de horas, sino la fragmentación, la intensidad y el trabajo invisible.</w:t>
            </w:r>
          </w:p>
        </w:tc>
        <w:tc>
          <w:tcPr>
            <w:tcW w:type="dxa" w:w="7128"/>
            <w:vAlign w:val="center"/>
            <w:tcMar>
              <w:top w:w="90" w:type="dxa"/>
              <w:start w:w="100" w:type="dxa"/>
              <w:bottom w:w="90" w:type="dxa"/>
              <w:end w:w="100" w:type="dxa"/>
            </w:tcMar>
            <w:shd w:fill="EAF1F8"/>
          </w:tcPr>
          <w:p>
            <w:pPr>
              <w:spacing w:before="0" w:after="0" w:line="252" w:lineRule="auto"/>
            </w:pPr>
            <w:r/>
            <w:r>
              <w:rPr>
                <w:rFonts w:ascii="Aptos" w:hAnsi="Aptos"/>
                <w:b w:val="0"/>
                <w:color w:val="1F2937"/>
                <w:sz w:val="18"/>
              </w:rPr>
              <w:t>Necesidad dominante: apoyo que llegue al aula. Los docentes demandan recursos editables, acompañamiento situado, protocolos de convivencia e inclusión, infraestructura funcional y reglas claras para IA; no solo cursos generales.</w:t>
            </w:r>
          </w:p>
        </w:tc>
      </w:tr>
    </w:tbl>
    <w:p>
      <w:pPr>
        <w:pStyle w:val="Heading2"/>
      </w:pPr>
      <w:r>
        <w:t>Método y alcance</w:t>
      </w:r>
    </w:p>
    <w:tbl>
      <w:tblPr>
        <w:tblStyle w:val="TableGrid"/>
        <w:tblW w:type="dxa" w:w="14256"/>
        <w:jc w:val="left"/>
        <w:tblLayout w:type="fixed"/>
        <w:tblLook w:firstColumn="1" w:firstRow="1" w:lastColumn="0" w:lastRow="0" w:noHBand="0" w:noVBand="1" w:val="04A0"/>
        <w:tblInd w:w="120" w:type="dxa"/>
      </w:tblPr>
      <w:tblGrid>
        <w:gridCol w:w="2100"/>
        <w:gridCol w:w="12156"/>
      </w:tblGrid>
      <w:tr>
        <w:trPr>
          <w:tblHeader w:val="true"/>
        </w:trPr>
        <w:tc>
          <w:tcPr>
            <w:tcW w:type="dxa" w:w="21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Aspecto</w:t>
            </w:r>
          </w:p>
        </w:tc>
        <w:tc>
          <w:tcPr>
            <w:tcW w:type="dxa" w:w="12156"/>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Enfoque aplicado</w:t>
            </w:r>
          </w:p>
        </w:tc>
      </w:tr>
      <w:tr>
        <w:tc>
          <w:tcPr>
            <w:tcW w:type="dxa" w:w="210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Punto de partida</w:t>
            </w:r>
          </w:p>
        </w:tc>
        <w:tc>
          <w:tcPr>
            <w:tcW w:type="dxa" w:w="12156"/>
            <w:vAlign w:val="center"/>
            <w:tcMar>
              <w:top w:w="90" w:type="dxa"/>
              <w:start w:w="100" w:type="dxa"/>
              <w:bottom w:w="90" w:type="dxa"/>
              <w:end w:w="100" w:type="dxa"/>
            </w:tcMar>
          </w:tcPr>
          <w:p>
            <w:pPr>
              <w:spacing w:before="0" w:after="0" w:line="252" w:lineRule="auto"/>
            </w:pPr>
            <w:r/>
            <w:r>
              <w:rPr>
                <w:rFonts w:ascii="Aptos" w:hAnsi="Aptos"/>
                <w:b w:val="0"/>
                <w:color w:val="1F2937"/>
                <w:sz w:val="17"/>
              </w:rPr>
              <w:t>Se siguió la lógica del archivo adjunto: escuchar demandas de recursos, preguntas prácticas y desahogos en comunidades; se trianguló con evidencia oficial y académica para evitar convertir anécdotas en conclusiones.</w:t>
            </w:r>
          </w:p>
        </w:tc>
      </w:tr>
      <w:tr>
        <w:tc>
          <w:tcPr>
            <w:tcW w:type="dxa" w:w="210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Jerarquía de evidencia</w:t>
            </w:r>
          </w:p>
        </w:tc>
        <w:tc>
          <w:tcPr>
            <w:tcW w:type="dxa" w:w="12156"/>
            <w:vAlign w:val="center"/>
            <w:tcMar>
              <w:top w:w="90" w:type="dxa"/>
              <w:start w:w="100" w:type="dxa"/>
              <w:bottom w:w="90" w:type="dxa"/>
              <w:end w:w="100" w:type="dxa"/>
            </w:tcMar>
          </w:tcPr>
          <w:p>
            <w:pPr>
              <w:spacing w:before="0" w:after="0" w:line="252" w:lineRule="auto"/>
            </w:pPr>
            <w:r/>
            <w:r>
              <w:rPr>
                <w:rFonts w:ascii="Aptos" w:hAnsi="Aptos"/>
                <w:b w:val="0"/>
                <w:color w:val="1F2937"/>
                <w:sz w:val="17"/>
              </w:rPr>
              <w:t>A: encuestas/estadísticas nacionales o internacionales; B: documentos de política y diagnósticos sectoriales; C: estudios académicos o señales orgánicas. Las cifras se usan solo cuando su población y año son claros.</w:t>
            </w:r>
          </w:p>
        </w:tc>
      </w:tr>
      <w:tr>
        <w:tc>
          <w:tcPr>
            <w:tcW w:type="dxa" w:w="210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Cobertura</w:t>
            </w:r>
          </w:p>
        </w:tc>
        <w:tc>
          <w:tcPr>
            <w:tcW w:type="dxa" w:w="12156"/>
            <w:vAlign w:val="center"/>
            <w:tcMar>
              <w:top w:w="90" w:type="dxa"/>
              <w:start w:w="100" w:type="dxa"/>
              <w:bottom w:w="90" w:type="dxa"/>
              <w:end w:w="100" w:type="dxa"/>
            </w:tcMar>
          </w:tcPr>
          <w:p>
            <w:pPr>
              <w:spacing w:before="0" w:after="0" w:line="252" w:lineRule="auto"/>
            </w:pPr>
            <w:r/>
            <w:r>
              <w:rPr>
                <w:rFonts w:ascii="Aptos" w:hAnsi="Aptos"/>
                <w:b w:val="0"/>
                <w:color w:val="1F2937"/>
                <w:sz w:val="17"/>
              </w:rPr>
              <w:t>Los cinco niveles son categorías comparables. Ruralidad, multigrado, discapacidad, interculturalidad, educación de adultos, sector privado e IA se tratan como ejes transversales.</w:t>
            </w:r>
          </w:p>
        </w:tc>
      </w:tr>
      <w:tr>
        <w:tc>
          <w:tcPr>
            <w:tcW w:type="dxa" w:w="210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Límite</w:t>
            </w:r>
          </w:p>
        </w:tc>
        <w:tc>
          <w:tcPr>
            <w:tcW w:type="dxa" w:w="12156"/>
            <w:vAlign w:val="center"/>
            <w:tcMar>
              <w:top w:w="90" w:type="dxa"/>
              <w:start w:w="100" w:type="dxa"/>
              <w:bottom w:w="90" w:type="dxa"/>
              <w:end w:w="100" w:type="dxa"/>
            </w:tcMar>
          </w:tcPr>
          <w:p>
            <w:pPr>
              <w:spacing w:before="0" w:after="0" w:line="252" w:lineRule="auto"/>
            </w:pPr>
            <w:r/>
            <w:r>
              <w:rPr>
                <w:rFonts w:ascii="Aptos" w:hAnsi="Aptos"/>
                <w:b w:val="0"/>
                <w:color w:val="1F2937"/>
                <w:sz w:val="17"/>
              </w:rPr>
              <w:t>No fue posible observar grupos cerrados de Facebook ni convertir comentarios públicos en muestras representativas. Las frases de la columna “cómo se manifiestan” son síntesis analíticas, no citas ni estimaciones de prevalencia.</w:t>
            </w:r>
          </w:p>
        </w:tc>
      </w:tr>
    </w:tbl>
    <w:p>
      <w:pPr>
        <w:pStyle w:val="Heading1"/>
        <w:pageBreakBefore/>
      </w:pPr>
      <w:r>
        <w:t>Colombia</w:t>
      </w:r>
    </w:p>
    <w:p>
      <w:pPr>
        <w:spacing w:after="160"/>
      </w:pPr>
      <w:r>
        <w:rPr>
          <w:rFonts w:ascii="Aptos" w:hAnsi="Aptos"/>
          <w:i/>
          <w:color w:val="5B6573"/>
          <w:sz w:val="20"/>
        </w:rPr>
        <w:t>Matriz de necesidades, dolores y frustraciones por nivel educativo</w:t>
      </w:r>
    </w:p>
    <w:tbl>
      <w:tblPr>
        <w:tblStyle w:val="TableGrid"/>
        <w:tblW w:type="dxa" w:w="14256"/>
        <w:jc w:val="left"/>
        <w:tblLayout w:type="fixed"/>
        <w:tblLook w:firstColumn="1" w:firstRow="1" w:lastColumn="0" w:lastRow="0" w:noHBand="0" w:noVBand="1" w:val="04A0"/>
        <w:tblInd w:w="120" w:type="dxa"/>
      </w:tblPr>
      <w:tblGrid>
        <w:gridCol w:w="900"/>
        <w:gridCol w:w="2850"/>
        <w:gridCol w:w="3150"/>
        <w:gridCol w:w="2450"/>
        <w:gridCol w:w="2650"/>
        <w:gridCol w:w="2256"/>
      </w:tblGrid>
      <w:tr>
        <w:trPr>
          <w:tblHeader w:val="true"/>
        </w:trPr>
        <w:tc>
          <w:tcPr>
            <w:tcW w:type="dxa" w:w="90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Nivel</w:t>
            </w:r>
          </w:p>
        </w:tc>
        <w:tc>
          <w:tcPr>
            <w:tcW w:type="dxa" w:w="28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Necesidades prioritarias</w:t>
            </w:r>
          </w:p>
        </w:tc>
        <w:tc>
          <w:tcPr>
            <w:tcW w:type="dxa" w:w="31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Dolores y frustraciones</w:t>
            </w:r>
          </w:p>
        </w:tc>
        <w:tc>
          <w:tcPr>
            <w:tcW w:type="dxa" w:w="24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Cómo se manifiestan</w:t>
            </w:r>
          </w:p>
        </w:tc>
        <w:tc>
          <w:tcPr>
            <w:tcW w:type="dxa" w:w="26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Evidencia</w:t>
            </w:r>
          </w:p>
        </w:tc>
        <w:tc>
          <w:tcPr>
            <w:tcW w:type="dxa" w:w="2256"/>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Qué resolver primero</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Inicial y preescolar</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Profesionalización y estabilidad del personal; planeación basada en juego y desarrollo; detección temprana; DUA y apoyos; comunicación con familias; materiales y espacios seguros.</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Rol de cuidado poco reconocido; contratos y salarios heterogéneos, sobre todo privados/comunitarios; presión por evidencias y reportes; atender discapacidad o rezagos sin equipo interdisciplinario; desgaste emocional con familias.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Buscar formatos listos, actividades de lectoescritura inicial, registros de desarrollo y guías de inclusión; llevar planeación y reportes a casa; pedir apoyo frente a conductas o necesidades que exceden su formación.</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La OIT ubica empleo, formación, protección social y financiación como condiciones estructurales [24]. La ruta colombiana de inclusión exige coordinación con familias y profesionales [5]. En ruralidad, la política reconoce infraestructura, TIC y desarrollo profesoral [4].</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Tiempo protegido y formatos simples. 2) Equipos de apoyo e itinerarios de derivación. 3) Formación situada en desarrollo infantil/inclusión. 4) Mejorar estabilidad y reconocimiento.</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Primaria</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Materiales contextualizados; enseñanza multigrado y nivelación; evaluación formativa ágil; inclusión; conectividad; apoyo para convivencia y relación familia-escuela.</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Preparar varias áreas y grados; brechas de lectura/matemáticas; conectividad e infraestructura rural insuficientes; duplicidad de notas/reportes; poco tiempo para retroalimentar; aislamiento profesional en sedes dispersas.</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Solicitar secuencias, rúbricas y actividades imprimibles; adaptar una misma clase a niveles distintos; improvisar por falta de internet o insumos; usar tiempo personal para calificar y cargar notas.</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El Plan Especial Rural señala aislamiento, baja pertinencia de parte de la formación continua y déficits de infraestructura/conectividad [3]. TALIS confirma más tiempo de preparación y corrección que la media OCDE, aunque mide secundaria baja [2].</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Kits offline y planeación multigrado. 2) Menos duplicidad administrativa. 3) Tutoría/acompañamiento rural. 4) Recursos para nivelación e inclusión.</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Secundaria y media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Gestión de aula y convivencia; apoyo socioemocional; evaluación de grupos grandes; diferenciación; orientación vocacional; uso crítico de IA; autonomía y colaboración.</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Responsabilización por resultados; disciplina; carga administrativa; alto volumen de corrección; diversidad sin suficientes apoyos; exposición a violencia o contextos vulnerables; dificultad para conectar currículo y proyecto de vida.</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Preguntar cómo evaluar individualmente a muchos estudiantes; pedir rúbricas, recuperaciones y planeaciones; frustrarse por interrupciones, desmotivación o presión de familias/directivos; registrar notas en varios sistemas.</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TALIS 2024: principales estresores, resultados (34%), disciplina (31%) y administración (31%); 26,8 h de docencia, 9,1 h de preparación y 6 h de corrección semanales; 18% del tiempo de clase en orden [2].</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Automatizar reportes y evaluación de bajo riesgo. 2) Protocolos de convivencia y apoyo psicosocial. 3) Herramientas de diferenciación. 4) Orientación de trayectorias.</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Técnica, tecnológica y formación para el trabajo</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Actualización técnica; laboratorios/equipos; articulación con empresas y territorio; evaluación por competencias; acompañamiento a prácticas; inclusión y conectividad.</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Tecnología institucional rezagada frente al sector productivo; doble identidad de experto técnico y pedagogo; coordinación de prácticas y seguridad; estudiantes con trayectorias heterogéneas; oferta poco pertinente en territorios rurales.</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Buscar guías de proyectos, listas de cotejo y simuladores; enseñar con equipos obsoletos; gestionar convenios y evidencias además de dar clase; traducir estándares laborales a actividades reales.</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La política ARED demanda pertinencia territorial, infraestructura física/tecnológica e inserción laboral; la política rural pide articulación de niveles y TIC [4]. Evidencia directa sobre dolores docentes del subsector es limitada.</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Estancias docentes en industria. 2) Equipamiento compartido/simulación. 3) Banco de evaluaciones por desempeño. 4) Gestor institucional de prácticas.</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Universitaria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Estabilidad y carrera; equilibrio docencia-investigación-gestión; tiempo para retroalimentar; apoyo en IA e integridad; salud mental; reconocimiento y autonomía.</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Contratos por cátedra; fragmentación entre instituciones; tareas multitarea y presión de publicación/acreditación; trabajo invisible; conciliación difícil; actualización acelerada por IA y expectativas estudiantiles.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Preparar y calificar fuera de horas pagadas; aceptar tareas administrativas sin descarga; buscar cómo detectar o integrar IA; frustrarse por baja participación, carga de correos y métricas de desempeño.</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Estudio colombiano (n=160) vincula carga, contrato, reconocimiento, autonomía y conciliación con agotamiento [6]. La encuesta regional de IES evidencia necesidad de gobernanza y preparación para IA [23].</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Reconocer horas reales y estabilizar contratos. 2) Rediseñar carga integral. 3) Política clara de IA e integridad. 4) Apoyo psicológico y pedagógico.</w:t>
            </w:r>
          </w:p>
        </w:tc>
      </w:tr>
    </w:tbl>
    <w:p>
      <w:pPr>
        <w:spacing w:before="80" w:after="0"/>
      </w:pPr>
      <w:r>
        <w:rPr>
          <w:rFonts w:ascii="Aptos" w:hAnsi="Aptos"/>
          <w:i/>
          <w:color w:val="5B6573"/>
          <w:sz w:val="16"/>
        </w:rPr>
        <w:t>Lectura: “cómo se manifiestan” traduce la evidencia y la escucha digital sugerida en [1] a comportamientos observables; no son citas textuales ni prevalencias.</w:t>
      </w:r>
    </w:p>
    <w:p>
      <w:pPr>
        <w:pStyle w:val="Heading1"/>
        <w:pageBreakBefore/>
      </w:pPr>
      <w:r>
        <w:t>México</w:t>
      </w:r>
    </w:p>
    <w:p>
      <w:pPr>
        <w:spacing w:after="160"/>
      </w:pPr>
      <w:r>
        <w:rPr>
          <w:rFonts w:ascii="Aptos" w:hAnsi="Aptos"/>
          <w:i/>
          <w:color w:val="5B6573"/>
          <w:sz w:val="20"/>
        </w:rPr>
        <w:t>Matriz de necesidades, dolores y frustraciones por nivel educativo</w:t>
      </w:r>
    </w:p>
    <w:tbl>
      <w:tblPr>
        <w:tblStyle w:val="TableGrid"/>
        <w:tblW w:type="dxa" w:w="14256"/>
        <w:jc w:val="left"/>
        <w:tblLayout w:type="fixed"/>
        <w:tblLook w:firstColumn="1" w:firstRow="1" w:lastColumn="0" w:lastRow="0" w:noHBand="0" w:noVBand="1" w:val="04A0"/>
        <w:tblInd w:w="120" w:type="dxa"/>
      </w:tblPr>
      <w:tblGrid>
        <w:gridCol w:w="900"/>
        <w:gridCol w:w="2850"/>
        <w:gridCol w:w="3150"/>
        <w:gridCol w:w="2450"/>
        <w:gridCol w:w="2650"/>
        <w:gridCol w:w="2256"/>
      </w:tblGrid>
      <w:tr>
        <w:trPr>
          <w:tblHeader w:val="true"/>
        </w:trPr>
        <w:tc>
          <w:tcPr>
            <w:tcW w:type="dxa" w:w="90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Nivel</w:t>
            </w:r>
          </w:p>
        </w:tc>
        <w:tc>
          <w:tcPr>
            <w:tcW w:type="dxa" w:w="28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Necesidades prioritarias</w:t>
            </w:r>
          </w:p>
        </w:tc>
        <w:tc>
          <w:tcPr>
            <w:tcW w:type="dxa" w:w="31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Dolores y frustraciones</w:t>
            </w:r>
          </w:p>
        </w:tc>
        <w:tc>
          <w:tcPr>
            <w:tcW w:type="dxa" w:w="24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Cómo se manifiestan</w:t>
            </w:r>
          </w:p>
        </w:tc>
        <w:tc>
          <w:tcPr>
            <w:tcW w:type="dxa" w:w="26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Evidencia</w:t>
            </w:r>
          </w:p>
        </w:tc>
        <w:tc>
          <w:tcPr>
            <w:tcW w:type="dxa" w:w="2256"/>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Qué resolver primero</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Inicial y preescolar</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Apropiación de la NEM; planeación por proyectos y juego; observación del desarrollo; inclusión y socioemocionalidad; materiales; trabajo con familias.</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Confusión entre programa analítico y planeación didáctica; presión por contextualizar y documentar; escasez de apoyos para discapacidad; brechas de infraestructura; alta demanda de formatos y actividades listas.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Preguntar cómo vincular campos formativos y ejes; pedir ejemplos de proyectos, instrumentos de observación y evidencias; adaptar actividades a grupos diversos sin especialistas ni materiales suficientes.</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La SEP reconoce una apropiación diferenciada y dedica formación a programa analítico, proyectos y evaluación [7]. CONEVAL muestra brechas de internet y accesibilidad en educación básica [10].</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Ejemplos validados por fase. 2) Planeación/evidencia en una sola herramienta. 3) Apoyo itinerante de inclusión. 4) Materiales de bajo costo y offline.</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Primaria</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Codiseño curricular; proyectos interdisciplinarios; evaluación formativa; alfabetización y matemáticas; enseñanza multigrado/indígena; recursos y conectividad.</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Traducir la NEM a clases concretas; reuniones colegiadas sin tiempo; perfil y materiales insuficientes para multigrado; infraestructura desigual; administrar grupos grandes y rezagos muy heterogéneos.</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Buscar planeaciones NEM, programas analíticos, rúbricas y productos de proyecto; combinar grados y lenguas; imprimir por falta de internet; rehacer formatos ante criterios locales distintos.</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Diagnóstico estatal identifica comprensión, contextualización, diseño, aplicación y seguimiento del programa analítico como reto [8]. INEE señala ausencia de perfil/materiales específicos para multigrado [9]. En básica, 46,9% de planteles tenía internet [10].</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Secuencias NEM editables. 2) Planeación multigrado y bilingüe. 3) Tiempo colegiado real. 4) Conectividad/equipamiento y soporte.</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Secundaria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Integración de campos y disciplinas; gestión de adolescencia y convivencia; evaluación formativa; inclusión; proyectos comunitarios; habilidades digitales/IA.</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Coordinar asignaturas y proyectos sin descarga; desmotivación y conducta; responsabilidad por resultados; grupos numerosos; tensión entre cobertura disciplinar y enfoque comunitario; sobrecarga de evidencias.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Pedir cómo alinear disciplina, campo y proyecto; buscar rúbricas rápidas; expresar que el programa analítico consume tiempo; atender conflictos, familias y recuperación académica fuera de horario.</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La SEP establece construcción colectiva por asignaturas/campos y separa programa analítico de planeación/evaluación, lo que añade capas de trabajo si no se integran [7]. Las estrategias estatales priorizan evaluación, inclusión y gestión de aula [8].</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Mapas curriculares y bancos de proyectos. 2) Menos reportes paralelos. 3) Apoyo de convivencia/salud mental. 4) Evaluación formativa escalable.</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Media superior y técnico-profesional</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Implementación curricular; actualización disciplinar/técnica; equipos, internet y bibliotecas; prevención de abandono; orientación laboral; coordinación con empresas.</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Planteles sin servicios o recursos clave; heterogeneidad de subsistemas y contratos; grupos con rezago y riesgo de abandono; currículos que cambian; presión por evidencias, tutoría y vinculación laboral.</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Usar equipos personales; adaptar prácticas por falta de laboratorio; dar tutoría no reconocida; buscar materiales del nuevo marco; gestionar prácticas y seguimiento sin soporte administrativo.</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CONEVAL reporta en media superior 52,6% de planteles con internet y 38,6% con infraestructura adaptada (2022-2023) [10]. La necesidad de profesionalización para cambios curriculares ha sido documentada por INEE/SEP [7].</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Equipamiento y conectividad. 2) Formación vinculada al puesto. 3) Sistema de alerta de abandono con equipo de apoyo. 4) Gestión de convenios desde la institución.</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Universitaria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Trabajo digno y carrera; pago de preparación/evaluación; acceso a investigación; pedagogía universitaria; IA e integridad; bienestar.</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Docencia por asignatura con inseguridad, bajos ingresos y meses sin empleo; múltiples instituciones; desigual acceso a recursos; presión por evaluación/publicación; baja autonomía y desgaste.</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Aceptar más grupos para completar ingreso; trasladarse entre campus; preparar/calificar sin remuneración; temer no renovar; competir por pocas plazas; gestionar plagio/IA sin política clara.</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Investigación cualitativa 2025 visibiliza precariedad y demanda de dignificación de docentes por hora [11]. Estudios sobre temporales describen inestabilidad, trabajo no remunerado y burnout; la IA añade una necesidad regional de gobernanza [23].</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Piso contractual y pago de trabajo invisible. 2) Rutas transparentes de carrera. 3) Acceso a recursos/desarrollo docente. 4) Política institucional de IA.</w:t>
            </w:r>
          </w:p>
        </w:tc>
      </w:tr>
    </w:tbl>
    <w:p>
      <w:pPr>
        <w:spacing w:before="80" w:after="0"/>
      </w:pPr>
      <w:r>
        <w:rPr>
          <w:rFonts w:ascii="Aptos" w:hAnsi="Aptos"/>
          <w:i/>
          <w:color w:val="5B6573"/>
          <w:sz w:val="16"/>
        </w:rPr>
        <w:t>Lectura: “cómo se manifiestan” traduce la evidencia y la escucha digital sugerida en [1] a comportamientos observables; no son citas textuales ni prevalencias.</w:t>
      </w:r>
    </w:p>
    <w:p>
      <w:pPr>
        <w:pStyle w:val="Heading1"/>
        <w:pageBreakBefore/>
      </w:pPr>
      <w:r>
        <w:t>Chile</w:t>
      </w:r>
    </w:p>
    <w:p>
      <w:pPr>
        <w:spacing w:after="160"/>
      </w:pPr>
      <w:r>
        <w:rPr>
          <w:rFonts w:ascii="Aptos" w:hAnsi="Aptos"/>
          <w:i/>
          <w:color w:val="5B6573"/>
          <w:sz w:val="20"/>
        </w:rPr>
        <w:t>Matriz de necesidades, dolores y frustraciones por nivel educativo</w:t>
      </w:r>
    </w:p>
    <w:tbl>
      <w:tblPr>
        <w:tblStyle w:val="TableGrid"/>
        <w:tblW w:type="dxa" w:w="14256"/>
        <w:jc w:val="left"/>
        <w:tblLayout w:type="fixed"/>
        <w:tblLook w:firstColumn="1" w:firstRow="1" w:lastColumn="0" w:lastRow="0" w:noHBand="0" w:noVBand="1" w:val="04A0"/>
        <w:tblInd w:w="120" w:type="dxa"/>
      </w:tblPr>
      <w:tblGrid>
        <w:gridCol w:w="900"/>
        <w:gridCol w:w="2850"/>
        <w:gridCol w:w="3150"/>
        <w:gridCol w:w="2450"/>
        <w:gridCol w:w="2650"/>
        <w:gridCol w:w="2256"/>
      </w:tblGrid>
      <w:tr>
        <w:trPr>
          <w:tblHeader w:val="true"/>
        </w:trPr>
        <w:tc>
          <w:tcPr>
            <w:tcW w:type="dxa" w:w="90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Nivel</w:t>
            </w:r>
          </w:p>
        </w:tc>
        <w:tc>
          <w:tcPr>
            <w:tcW w:type="dxa" w:w="28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Necesidades prioritarias</w:t>
            </w:r>
          </w:p>
        </w:tc>
        <w:tc>
          <w:tcPr>
            <w:tcW w:type="dxa" w:w="31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Dolores y frustraciones</w:t>
            </w:r>
          </w:p>
        </w:tc>
        <w:tc>
          <w:tcPr>
            <w:tcW w:type="dxa" w:w="24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Cómo se manifiestan</w:t>
            </w:r>
          </w:p>
        </w:tc>
        <w:tc>
          <w:tcPr>
            <w:tcW w:type="dxa" w:w="26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Evidencia</w:t>
            </w:r>
          </w:p>
        </w:tc>
        <w:tc>
          <w:tcPr>
            <w:tcW w:type="dxa" w:w="2256"/>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Qué resolver primero</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Parvularia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Más tiempo para experiencias de aprendizaje; menos administración; ratios y dotación adecuados; inclusión; bienestar; relación con familias.</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Documentación que desplaza la interacción; poco tiempo de preparación; presión por mantener ambientes cálidos; agresión/intimidación de niños o familias; diversificar sin suficiente apoyo; desgaste físico y vocal.</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Completar registros fuera de jornada; buscar experiencias y formatos; adaptar para distintas formas de aprendizaje; pedir apoyo ante familias o conductas; sentir que el cuidado y la documentación compiten.</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ENDE 2025: según dependencia, 42,6%-70,5% identifica demasiado trabajo administrativo; 47,3%-68,9% poco tiempo para preparar experiencias; 13,5%-15,9% intimidación/agresión [12].</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Simplificar registros. 2) Bloques no lectivos protegidos. 3) Dotación y apoyo de inclusión. 4) protocolos de seguridad y bienestar.</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Básica</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Tiempo no lectivo; planificación y retroalimentación; inclusión/PIE; convivencia; recursos; colaboración con apoderados.</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Administración y preparación compiten; cursos numerosos en ciertos sectores; adecuaciones para NEE; presión de apoderados; violencia; evaluación; impacto en salud mental y vida personal.</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Llevar trabajo a casa; crear materiales diferenciados; documentar adecuaciones; responder mensajes de apoderados; solicitar protocolos y apoyo frente a conductas o agresiones.</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ENDE 2025: administración (55,3%) y poco tiempo para preparar (51,0%) son los mayores estresores; adecuar para distintas capacidades, 30,1%; agresión/intimidación, 18,2% [12]. El Plan Docente prioriza bienestar y violencia [14].</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Reducir carga documental. 2) Co-docencia y apoyo PIE efectivo. 3) Límites de comunicación con familias. 4) respuesta institucional a violencia.</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Media científico-humanista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Gestión de aula; apoyo socioemocional; tiempo de preparación; evaluación; inclusión; mentoría inicial; participación en decisiones; IA responsable.</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Alta intensidad lectiva; disciplina y abuso verbal; responsabilización por resultados; administración; poca influencia en decisiones; intención de salida en jóvenes; infraestructura desigual para IA.</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Preparar y corregir fuera de jornada; perder tiempo de clase manteniendo orden; pedir cómo adaptar a NEE; usar IA para planear sin lineamientos; sentirse poco protegido ante estudiantes/apoderados.</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TALIS: 30,3 h de docencia y 4,9 h administrativas; estresores: administración 57%, resultados 55%, disciplina 54%; 27% mucho estrés, 15% impacto mental; 24% de menores de 30 prevé salir en 5 años [13].</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Menos horas/tareas administrativas. 2) protección y convivencia. 3) mentoría y voz docente. 4) apoyo de inclusión e IA.</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Media y superior técnico-profesional</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Actualización tecnológica; vínculo con industria; didáctica de competencias; enfoque de género; articulación media-superior; prácticas seguras; equipamiento.</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Mantener pertinencia con tecnología cambiante; combinar identidad técnica y pedagógica; talleres/equipos costosos; coordinar prácticas; estudiantes que trabajan; desigualdad de género por especialidad.</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Buscar pasantías y materiales técnicos; simular por falta de equipos; traducir estándares a desempeños; resolver convenios y seguridad; actualizarse por cuenta propia.</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Estándares CPEIP identifican vinculación productiva, articulación, género, cambio tecnológico y habilidades del siglo XXI como desafíos centrales [15]. La estrategia nacional 2026 refuerza el puente con necesidades productivas.</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Estancias periódicas en industria. 2) fondos de actualización de talleres. 3) apoyo para prácticas. 4) formación pedagógica modular.</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Universitaria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Carga sostenible; bienestar; claridad de expectativas; reconocimiento de docencia; estabilidad; apoyo pedagógico, digital e IA.</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Altas demandas, múltiples roles y cierre semestral intenso; presión por producción y acreditación; agotamiento; poca separación trabajo-vida; contratación parcial en segmentos del sistema.</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Responder correos y calificar de noche; preparar cursos sin descarga; competir por productividad; gestionar estudiantes con necesidades de apoyo; experimentar burnout aun con compromiso alto.</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Estudio exploratorio en una facultad de educación (n=54) halló 59,3% con presencia o riesgo de burnout; útil como señal, no como estimación nacional [16]. La gobernanza de IA es un reto regional [23].</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Medir y rediseñar carga real. 2) apoyo de salud mental. 3) carrera y contratación transparentes. 4) centros de apoyo pedagógico/IA.</w:t>
            </w:r>
          </w:p>
        </w:tc>
      </w:tr>
    </w:tbl>
    <w:p>
      <w:pPr>
        <w:spacing w:before="80" w:after="0"/>
      </w:pPr>
      <w:r>
        <w:rPr>
          <w:rFonts w:ascii="Aptos" w:hAnsi="Aptos"/>
          <w:i/>
          <w:color w:val="5B6573"/>
          <w:sz w:val="16"/>
        </w:rPr>
        <w:t>Lectura: “cómo se manifiestan” traduce la evidencia y la escucha digital sugerida en [1] a comportamientos observables; no son citas textuales ni prevalencias.</w:t>
      </w:r>
    </w:p>
    <w:p>
      <w:pPr>
        <w:pStyle w:val="Heading1"/>
        <w:pageBreakBefore/>
      </w:pPr>
      <w:r>
        <w:t>Perú</w:t>
      </w:r>
    </w:p>
    <w:p>
      <w:pPr>
        <w:spacing w:after="160"/>
      </w:pPr>
      <w:r>
        <w:rPr>
          <w:rFonts w:ascii="Aptos" w:hAnsi="Aptos"/>
          <w:i/>
          <w:color w:val="5B6573"/>
          <w:sz w:val="20"/>
        </w:rPr>
        <w:t>Matriz de necesidades, dolores y frustraciones por nivel educativo</w:t>
      </w:r>
    </w:p>
    <w:tbl>
      <w:tblPr>
        <w:tblStyle w:val="TableGrid"/>
        <w:tblW w:type="dxa" w:w="14256"/>
        <w:jc w:val="left"/>
        <w:tblLayout w:type="fixed"/>
        <w:tblLook w:firstColumn="1" w:firstRow="1" w:lastColumn="0" w:lastRow="0" w:noHBand="0" w:noVBand="1" w:val="04A0"/>
        <w:tblInd w:w="120" w:type="dxa"/>
      </w:tblPr>
      <w:tblGrid>
        <w:gridCol w:w="900"/>
        <w:gridCol w:w="2850"/>
        <w:gridCol w:w="3150"/>
        <w:gridCol w:w="2450"/>
        <w:gridCol w:w="2650"/>
        <w:gridCol w:w="2256"/>
      </w:tblGrid>
      <w:tr>
        <w:trPr>
          <w:tblHeader w:val="true"/>
        </w:trPr>
        <w:tc>
          <w:tcPr>
            <w:tcW w:type="dxa" w:w="90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Nivel</w:t>
            </w:r>
          </w:p>
        </w:tc>
        <w:tc>
          <w:tcPr>
            <w:tcW w:type="dxa" w:w="28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Necesidades prioritarias</w:t>
            </w:r>
          </w:p>
        </w:tc>
        <w:tc>
          <w:tcPr>
            <w:tcW w:type="dxa" w:w="31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Dolores y frustraciones</w:t>
            </w:r>
          </w:p>
        </w:tc>
        <w:tc>
          <w:tcPr>
            <w:tcW w:type="dxa" w:w="24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Cómo se manifiestan</w:t>
            </w:r>
          </w:p>
        </w:tc>
        <w:tc>
          <w:tcPr>
            <w:tcW w:type="dxa" w:w="2650"/>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Evidencia</w:t>
            </w:r>
          </w:p>
        </w:tc>
        <w:tc>
          <w:tcPr>
            <w:tcW w:type="dxa" w:w="2256"/>
            <w:vAlign w:val="center"/>
            <w:tcMar>
              <w:top w:w="90" w:type="dxa"/>
              <w:start w:w="100" w:type="dxa"/>
              <w:bottom w:w="90" w:type="dxa"/>
              <w:end w:w="100" w:type="dxa"/>
            </w:tcMar>
            <w:shd w:fill="17365D"/>
          </w:tcPr>
          <w:p>
            <w:pPr>
              <w:spacing w:before="0" w:after="0" w:line="252" w:lineRule="auto"/>
            </w:pPr>
            <w:r/>
            <w:r>
              <w:rPr>
                <w:rFonts w:ascii="Aptos" w:hAnsi="Aptos"/>
                <w:b/>
                <w:color w:val="FFFFFF"/>
                <w:sz w:val="16"/>
              </w:rPr>
              <w:t>Qué resolver primero</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Inicial</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Formación situada en desarrollo y juego; planificación/evaluación; inclusión; recursos interculturales y bilingües; relación con familias; bienestar y salud ocupacional.</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Multiedad y ruralidad; materiales/conectividad insuficientes; atención socioemocional sin especialistas; carga fuera de jornada; riesgos de voz, postura y estrés; incentivos insuficientes en plazas remotas.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Buscar sesiones y registros editables; producir materiales; coordinar por teléfono con familias; trasladarse largas distancias; adaptar al idioma/contexto; reportar estrés o ansiedad sin apoyo oportuno.</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ENDO pregunta por incentivos rurales, formación, tiempo fuera de jornada y bienestar; OIT identifica sobrecarga y riesgos físicos/psicosociales [18]. OCDE 2026 señala fortalecer preparación inicial y distribución docente [19].</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Materiales offline interculturales. 2) acompañamiento itinerante. 3) ergonomía/voz y apoyo mental. 4) incentivos integrales para ruralidad.</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Primaria</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Nivelación de aprendizajes; multigrado; evaluación formativa; inclusión; conectividad; lengua y cultura; tiempo para planear y retroalimentar.</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Enseñar varios grados; grandes brechas; infraestructura y acceso digital desiguales; tareas administrativas; aislamiento; atención de problemas socioemocionales; segundo empleo o presión económica en algunos casos.</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Preparar clases y calificar fuera del horario; descargar/compartir material cuando hay señal; solicitar instrumentos de evaluación; adaptar currículo a comunidad y lengua; cubrir funciones adicionales.</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La ENDO estructura necesidades en planificación, metodología, evaluación, socioemocional, recursos digitales e innovación. La OIT documenta sobrecarga y riesgos; la OCDE pide mejor preparación y apoyo territorial [18][19].</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Planeación multigrado y bilingüe. 2) recursos de nivelación. 3) simplificación administrativa. 4) conectividad con alternativas offline.</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Secundaria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Gestión de aula; recuperación; orientación vocacional; evaluación por competencias; salud mental; recursos digitales; actualización disciplinar.</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Desmotivación y rezagos; presión por resultados y permanencia; adolescentes con necesidades socioemocionales; grupos heterogéneos; coordinación con familias; carga y riesgos psicosociales.</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Pedir rúbricas, experiencias y estrategias para motivar; atender crisis estudiantiles; usar el teléfono personal; planear y calificar de noche; frustrarse por la brecha entre currículo y oportunidades locales.</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Seguimiento del PEN: 31,6% reportó síntomas de ansiedad y 17,6% de depresión en 2022; el propio informe advierte ausencia de actualización 2023-2024 [17]. OIT confirma riesgos psicosociales y ambientales [18].</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Red de salud mental y derivación. 2) herramientas de evaluación/recuperación. 3) orientación conectada al territorio. 4) protección de tiempo.</w:t>
            </w:r>
          </w:p>
        </w:tc>
      </w:tr>
      <w:tr>
        <w:trPr>
          <w:cantSplit/>
        </w:trPr>
        <w:tc>
          <w:tcPr>
            <w:tcW w:type="dxa" w:w="9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Técnico-productiva y superior tecnológica</w:t>
            </w:r>
          </w:p>
        </w:tc>
        <w:tc>
          <w:tcPr>
            <w:tcW w:type="dxa" w:w="28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Actualización técnica; planes por competencias; conectividad/equipos; materiales para práctica; acompañamiento; vinculación productiva; contratación oportuna.</w:t>
            </w:r>
          </w:p>
        </w:tc>
        <w:tc>
          <w:tcPr>
            <w:tcW w:type="dxa" w:w="31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Equipos y tecnología desactualizados; baja conectividad; escasez de plataformas/materiales específicos; poca disponibilidad por tareas paralelas; trámites; dificultad de involucrar al sector productivo.</w:t>
            </w:r>
          </w:p>
        </w:tc>
        <w:tc>
          <w:tcPr>
            <w:tcW w:type="dxa" w:w="24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Seguir cursos con equipos limitados; adaptar prácticas a modalidad remota; buscar simuladores; posponer formación por urgencias; gestionar matrícula/títulos y convenios además de enseñar.</w:t>
            </w:r>
          </w:p>
        </w:tc>
        <w:tc>
          <w:tcPr>
            <w:tcW w:type="dxa" w:w="265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Evaluación de la Estrategia 360 identifica conectividad inestable, equipos inadecuados, capacidades técnicas y materiales específicos insuficientes [20]. Informe institucional 2024 reportó 33% de aprobación frente a meta anual de 75% al primer semestre.</w:t>
            </w:r>
          </w:p>
        </w:tc>
        <w:tc>
          <w:tcPr>
            <w:tcW w:type="dxa" w:w="22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 Equipamiento/conectividad. 2) tutoría y puntos focales. 3) formación modular con tiempo asignado. 4) participación empresarial sostenida.</w:t>
            </w:r>
          </w:p>
        </w:tc>
      </w:tr>
      <w:tr>
        <w:trPr>
          <w:cantSplit/>
        </w:trPr>
        <w:tc>
          <w:tcPr>
            <w:tcW w:type="dxa" w:w="900"/>
            <w:vAlign w:val="center"/>
            <w:tcMar>
              <w:top w:w="90" w:type="dxa"/>
              <w:start w:w="100" w:type="dxa"/>
              <w:bottom w:w="90" w:type="dxa"/>
              <w:end w:w="100" w:type="dxa"/>
            </w:tcMar>
            <w:shd w:fill="EAF1F8"/>
          </w:tcPr>
          <w:p>
            <w:pPr>
              <w:spacing w:before="0" w:after="0" w:line="252" w:lineRule="auto"/>
            </w:pPr>
            <w:r/>
            <w:r>
              <w:rPr>
                <w:rFonts w:ascii="Aptos" w:hAnsi="Aptos"/>
                <w:b/>
                <w:color w:val="17365D"/>
                <w:sz w:val="16"/>
              </w:rPr>
              <w:t>Universitaria</w:t>
            </w:r>
          </w:p>
        </w:tc>
        <w:tc>
          <w:tcPr>
            <w:tcW w:type="dxa" w:w="2850"/>
            <w:vAlign w:val="center"/>
            <w:tcMar>
              <w:top w:w="90" w:type="dxa"/>
              <w:start w:w="100" w:type="dxa"/>
              <w:bottom w:w="90" w:type="dxa"/>
              <w:end w:w="100" w:type="dxa"/>
            </w:tcMar>
          </w:tcPr>
          <w:p>
            <w:pPr>
              <w:spacing w:before="0" w:after="0" w:line="252" w:lineRule="auto"/>
            </w:pPr>
            <w:r/>
            <w:r>
              <w:rPr>
                <w:rFonts w:ascii="Aptos" w:hAnsi="Aptos"/>
                <w:b w:val="0"/>
                <w:color w:val="1F2937"/>
                <w:sz w:val="16"/>
              </w:rPr>
              <w:t>Carga y carrera claras; equilibrio docencia-investigación-gestión; bienestar; apoyo en IA; pedagogía universitaria; infraestructura y estabilidad.</w:t>
            </w:r>
          </w:p>
        </w:tc>
        <w:tc>
          <w:tcPr>
            <w:tcW w:type="dxa" w:w="3150"/>
            <w:vAlign w:val="center"/>
            <w:tcMar>
              <w:top w:w="90" w:type="dxa"/>
              <w:start w:w="100" w:type="dxa"/>
              <w:bottom w:w="90" w:type="dxa"/>
              <w:end w:w="100" w:type="dxa"/>
            </w:tcMar>
          </w:tcPr>
          <w:p>
            <w:pPr>
              <w:spacing w:before="0" w:after="0" w:line="252" w:lineRule="auto"/>
            </w:pPr>
            <w:r/>
            <w:r>
              <w:rPr>
                <w:rFonts w:ascii="Aptos" w:hAnsi="Aptos"/>
                <w:b w:val="0"/>
                <w:color w:val="1F2937"/>
                <w:sz w:val="16"/>
              </w:rPr>
              <w:t>Alta demanda y baja autonomía en algunos entornos; agotamiento y problemas de sueño; presión por investigación/licenciamiento; contratos heterogéneos; trabajo invisible; integridad académica con IA.</w:t>
            </w:r>
          </w:p>
        </w:tc>
        <w:tc>
          <w:tcPr>
            <w:tcW w:type="dxa" w:w="2450"/>
            <w:vAlign w:val="center"/>
            <w:tcMar>
              <w:top w:w="90" w:type="dxa"/>
              <w:start w:w="100" w:type="dxa"/>
              <w:bottom w:w="90" w:type="dxa"/>
              <w:end w:w="100" w:type="dxa"/>
            </w:tcMar>
          </w:tcPr>
          <w:p>
            <w:pPr>
              <w:spacing w:before="0" w:after="0" w:line="252" w:lineRule="auto"/>
            </w:pPr>
            <w:r/>
            <w:r>
              <w:rPr>
                <w:rFonts w:ascii="Aptos" w:hAnsi="Aptos"/>
                <w:b w:val="0"/>
                <w:color w:val="1F2937"/>
                <w:sz w:val="16"/>
              </w:rPr>
              <w:t>Preparar/calificar fuera de jornada; responder a múltiples actores; sostener productividad; manejar plagio/IA sin reglas; posponer autocuidado; frustración por recursos y estabilidad.</w:t>
            </w:r>
          </w:p>
        </w:tc>
        <w:tc>
          <w:tcPr>
            <w:tcW w:type="dxa" w:w="2650"/>
            <w:vAlign w:val="center"/>
            <w:tcMar>
              <w:top w:w="90" w:type="dxa"/>
              <w:start w:w="100" w:type="dxa"/>
              <w:bottom w:w="90" w:type="dxa"/>
              <w:end w:w="100" w:type="dxa"/>
            </w:tcMar>
          </w:tcPr>
          <w:p>
            <w:pPr>
              <w:spacing w:before="0" w:after="0" w:line="252" w:lineRule="auto"/>
            </w:pPr>
            <w:r/>
            <w:r>
              <w:rPr>
                <w:rFonts w:ascii="Aptos" w:hAnsi="Aptos"/>
                <w:b w:val="0"/>
                <w:color w:val="1F2937"/>
                <w:sz w:val="16"/>
              </w:rPr>
              <w:t>Estudio en universidad privada (512 trabajadores, 226 docentes) relaciona sueño, vigor, agotamiento y eficacia con salud [21]. El informe universitario nacional analiza carrera/condiciones, y UNESCO IESALC exige gobernanza de IA [23].</w:t>
            </w:r>
          </w:p>
        </w:tc>
        <w:tc>
          <w:tcPr>
            <w:tcW w:type="dxa" w:w="2256"/>
            <w:vAlign w:val="center"/>
            <w:tcMar>
              <w:top w:w="90" w:type="dxa"/>
              <w:start w:w="100" w:type="dxa"/>
              <w:bottom w:w="90" w:type="dxa"/>
              <w:end w:w="100" w:type="dxa"/>
            </w:tcMar>
          </w:tcPr>
          <w:p>
            <w:pPr>
              <w:spacing w:before="0" w:after="0" w:line="252" w:lineRule="auto"/>
            </w:pPr>
            <w:r/>
            <w:r>
              <w:rPr>
                <w:rFonts w:ascii="Aptos" w:hAnsi="Aptos"/>
                <w:b w:val="0"/>
                <w:color w:val="1F2937"/>
                <w:sz w:val="16"/>
              </w:rPr>
              <w:t>1) Auditoría de carga y descanso. 2) apoyo mental y pedagógico. 3) reglas de IA/integridad. 4) trayectorias contractuales y de promoción transparentes.</w:t>
            </w:r>
          </w:p>
        </w:tc>
      </w:tr>
    </w:tbl>
    <w:p>
      <w:pPr>
        <w:spacing w:before="80" w:after="0"/>
      </w:pPr>
      <w:r>
        <w:rPr>
          <w:rFonts w:ascii="Aptos" w:hAnsi="Aptos"/>
          <w:i/>
          <w:color w:val="5B6573"/>
          <w:sz w:val="16"/>
        </w:rPr>
        <w:t>Lectura: “cómo se manifiestan” traduce la evidencia y la escucha digital sugerida en [1] a comportamientos observables; no son citas textuales ni prevalencias.</w:t>
      </w:r>
    </w:p>
    <w:p>
      <w:pPr>
        <w:pStyle w:val="Heading1"/>
        <w:pageBreakBefore/>
      </w:pPr>
      <w:r>
        <w:t>Ejes transversales que agravan o cambian el dolor</w:t>
      </w:r>
    </w:p>
    <w:tbl>
      <w:tblPr>
        <w:tblStyle w:val="TableGrid"/>
        <w:tblW w:type="dxa" w:w="14256"/>
        <w:jc w:val="left"/>
        <w:tblLayout w:type="fixed"/>
        <w:tblLook w:firstColumn="1" w:firstRow="1" w:lastColumn="0" w:lastRow="0" w:noHBand="0" w:noVBand="1" w:val="04A0"/>
        <w:tblInd w:w="120" w:type="dxa"/>
      </w:tblPr>
      <w:tblGrid>
        <w:gridCol w:w="2100"/>
        <w:gridCol w:w="2600"/>
        <w:gridCol w:w="3600"/>
        <w:gridCol w:w="4300"/>
        <w:gridCol w:w="1656"/>
      </w:tblGrid>
      <w:tr>
        <w:trPr>
          <w:tblHeader w:val="true"/>
        </w:trPr>
        <w:tc>
          <w:tcPr>
            <w:tcW w:type="dxa" w:w="21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Eje</w:t>
            </w:r>
          </w:p>
        </w:tc>
        <w:tc>
          <w:tcPr>
            <w:tcW w:type="dxa" w:w="26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Dónde pesa más</w:t>
            </w:r>
          </w:p>
        </w:tc>
        <w:tc>
          <w:tcPr>
            <w:tcW w:type="dxa" w:w="36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Dolor específico</w:t>
            </w:r>
          </w:p>
        </w:tc>
        <w:tc>
          <w:tcPr>
            <w:tcW w:type="dxa" w:w="43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Necesidad/solución</w:t>
            </w:r>
          </w:p>
        </w:tc>
        <w:tc>
          <w:tcPr>
            <w:tcW w:type="dxa" w:w="1656"/>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Fuentes</w:t>
            </w:r>
          </w:p>
        </w:tc>
      </w:tr>
      <w:tr>
        <w:trPr>
          <w:cantSplit/>
        </w:trPr>
        <w:tc>
          <w:tcPr>
            <w:tcW w:type="dxa" w:w="2100"/>
            <w:vAlign w:val="center"/>
            <w:tcMar>
              <w:top w:w="90" w:type="dxa"/>
              <w:start w:w="100" w:type="dxa"/>
              <w:bottom w:w="90" w:type="dxa"/>
              <w:end w:w="100" w:type="dxa"/>
            </w:tcMar>
          </w:tcPr>
          <w:p>
            <w:pPr>
              <w:spacing w:before="0" w:after="0" w:line="252" w:lineRule="auto"/>
            </w:pPr>
            <w:r/>
            <w:r>
              <w:rPr>
                <w:rFonts w:ascii="Aptos" w:hAnsi="Aptos"/>
                <w:b/>
                <w:color w:val="17365D"/>
                <w:sz w:val="16"/>
              </w:rPr>
              <w:t>Rural, multigrado y dispersión</w:t>
            </w:r>
          </w:p>
        </w:tc>
        <w:tc>
          <w:tcPr>
            <w:tcW w:type="dxa" w:w="2600"/>
            <w:vAlign w:val="center"/>
            <w:tcMar>
              <w:top w:w="90" w:type="dxa"/>
              <w:start w:w="100" w:type="dxa"/>
              <w:bottom w:w="90" w:type="dxa"/>
              <w:end w:w="100" w:type="dxa"/>
            </w:tcMar>
          </w:tcPr>
          <w:p>
            <w:pPr>
              <w:spacing w:before="0" w:after="0" w:line="252" w:lineRule="auto"/>
            </w:pPr>
            <w:r/>
            <w:r>
              <w:rPr>
                <w:rFonts w:ascii="Aptos" w:hAnsi="Aptos"/>
                <w:b w:val="0"/>
                <w:color w:val="1F2937"/>
                <w:sz w:val="16"/>
              </w:rPr>
              <w:t>Colombia, México y Perú; también zonas extremas de Chile</w:t>
            </w:r>
          </w:p>
        </w:tc>
        <w:tc>
          <w:tcPr>
            <w:tcW w:type="dxa" w:w="3600"/>
            <w:vAlign w:val="center"/>
            <w:tcMar>
              <w:top w:w="90" w:type="dxa"/>
              <w:start w:w="100" w:type="dxa"/>
              <w:bottom w:w="90" w:type="dxa"/>
              <w:end w:w="100" w:type="dxa"/>
            </w:tcMar>
          </w:tcPr>
          <w:p>
            <w:pPr>
              <w:spacing w:before="0" w:after="0" w:line="252" w:lineRule="auto"/>
            </w:pPr>
            <w:r/>
            <w:r>
              <w:rPr>
                <w:rFonts w:ascii="Aptos" w:hAnsi="Aptos"/>
                <w:b w:val="0"/>
                <w:color w:val="1F2937"/>
                <w:sz w:val="16"/>
              </w:rPr>
              <w:t>Aislamiento, traslados, vivienda, conectividad, materiales, enseñanza simultánea y escaso acompañamiento.</w:t>
            </w:r>
          </w:p>
        </w:tc>
        <w:tc>
          <w:tcPr>
            <w:tcW w:type="dxa" w:w="4300"/>
            <w:vAlign w:val="center"/>
            <w:tcMar>
              <w:top w:w="90" w:type="dxa"/>
              <w:start w:w="100" w:type="dxa"/>
              <w:bottom w:w="90" w:type="dxa"/>
              <w:end w:w="100" w:type="dxa"/>
            </w:tcMar>
          </w:tcPr>
          <w:p>
            <w:pPr>
              <w:spacing w:before="0" w:after="0" w:line="252" w:lineRule="auto"/>
            </w:pPr>
            <w:r/>
            <w:r>
              <w:rPr>
                <w:rFonts w:ascii="Aptos" w:hAnsi="Aptos"/>
                <w:b w:val="0"/>
                <w:color w:val="1F2937"/>
                <w:sz w:val="16"/>
              </w:rPr>
              <w:t>Paquetes offline; mentoría territorial; incentivos con vivienda/movilidad; planeación multigrado; soporte técnico itinerante.</w:t>
            </w:r>
          </w:p>
        </w:tc>
        <w:tc>
          <w:tcPr>
            <w:tcW w:type="dxa" w:w="1656"/>
            <w:vAlign w:val="center"/>
            <w:tcMar>
              <w:top w:w="90" w:type="dxa"/>
              <w:start w:w="100" w:type="dxa"/>
              <w:bottom w:w="90" w:type="dxa"/>
              <w:end w:w="100" w:type="dxa"/>
            </w:tcMar>
          </w:tcPr>
          <w:p>
            <w:pPr>
              <w:spacing w:before="0" w:after="0" w:line="252" w:lineRule="auto"/>
            </w:pPr>
            <w:r/>
            <w:r>
              <w:rPr>
                <w:rFonts w:ascii="Aptos" w:hAnsi="Aptos"/>
                <w:b w:val="0"/>
                <w:color w:val="1F2937"/>
                <w:sz w:val="16"/>
              </w:rPr>
              <w:t>[3][4][9][18][19]</w:t>
            </w:r>
          </w:p>
        </w:tc>
      </w:tr>
      <w:tr>
        <w:trPr>
          <w:cantSplit/>
        </w:trPr>
        <w:tc>
          <w:tcPr>
            <w:tcW w:type="dxa" w:w="21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Discapacidad e inclusión</w:t>
            </w:r>
          </w:p>
        </w:tc>
        <w:tc>
          <w:tcPr>
            <w:tcW w:type="dxa" w:w="2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Todos los niveles y países</w:t>
            </w:r>
          </w:p>
        </w:tc>
        <w:tc>
          <w:tcPr>
            <w:tcW w:type="dxa" w:w="3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Se exige diversificar y documentar apoyos sin suficiente personal especializado, tiempo, accesibilidad o materiales.</w:t>
            </w:r>
          </w:p>
        </w:tc>
        <w:tc>
          <w:tcPr>
            <w:tcW w:type="dxa" w:w="43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Equipos interdisciplinarios; DUA práctico; banco de adaptaciones; menor carga documental; rutas con familias y salud.</w:t>
            </w:r>
          </w:p>
        </w:tc>
        <w:tc>
          <w:tcPr>
            <w:tcW w:type="dxa" w:w="16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[5][10][12][13]</w:t>
            </w:r>
          </w:p>
        </w:tc>
      </w:tr>
      <w:tr>
        <w:trPr>
          <w:cantSplit/>
        </w:trPr>
        <w:tc>
          <w:tcPr>
            <w:tcW w:type="dxa" w:w="2100"/>
            <w:vAlign w:val="center"/>
            <w:tcMar>
              <w:top w:w="90" w:type="dxa"/>
              <w:start w:w="100" w:type="dxa"/>
              <w:bottom w:w="90" w:type="dxa"/>
              <w:end w:w="100" w:type="dxa"/>
            </w:tcMar>
          </w:tcPr>
          <w:p>
            <w:pPr>
              <w:spacing w:before="0" w:after="0" w:line="252" w:lineRule="auto"/>
            </w:pPr>
            <w:r/>
            <w:r>
              <w:rPr>
                <w:rFonts w:ascii="Aptos" w:hAnsi="Aptos"/>
                <w:b/>
                <w:color w:val="17365D"/>
                <w:sz w:val="16"/>
              </w:rPr>
              <w:t>Intercultural/bilingüe y migración</w:t>
            </w:r>
          </w:p>
        </w:tc>
        <w:tc>
          <w:tcPr>
            <w:tcW w:type="dxa" w:w="2600"/>
            <w:vAlign w:val="center"/>
            <w:tcMar>
              <w:top w:w="90" w:type="dxa"/>
              <w:start w:w="100" w:type="dxa"/>
              <w:bottom w:w="90" w:type="dxa"/>
              <w:end w:w="100" w:type="dxa"/>
            </w:tcMar>
          </w:tcPr>
          <w:p>
            <w:pPr>
              <w:spacing w:before="0" w:after="0" w:line="252" w:lineRule="auto"/>
            </w:pPr>
            <w:r/>
            <w:r>
              <w:rPr>
                <w:rFonts w:ascii="Aptos" w:hAnsi="Aptos"/>
                <w:b w:val="0"/>
                <w:color w:val="1F2937"/>
                <w:sz w:val="16"/>
              </w:rPr>
              <w:t>Inicial a media, especialmente territorios indígenas y fronterizos</w:t>
            </w:r>
          </w:p>
        </w:tc>
        <w:tc>
          <w:tcPr>
            <w:tcW w:type="dxa" w:w="3600"/>
            <w:vAlign w:val="center"/>
            <w:tcMar>
              <w:top w:w="90" w:type="dxa"/>
              <w:start w:w="100" w:type="dxa"/>
              <w:bottom w:w="90" w:type="dxa"/>
              <w:end w:w="100" w:type="dxa"/>
            </w:tcMar>
          </w:tcPr>
          <w:p>
            <w:pPr>
              <w:spacing w:before="0" w:after="0" w:line="252" w:lineRule="auto"/>
            </w:pPr>
            <w:r/>
            <w:r>
              <w:rPr>
                <w:rFonts w:ascii="Aptos" w:hAnsi="Aptos"/>
                <w:b w:val="0"/>
                <w:color w:val="1F2937"/>
                <w:sz w:val="16"/>
              </w:rPr>
              <w:t>Currículo/materiales poco pertinentes, barreras lingüísticas y trabajo adicional de mediación comunitaria.</w:t>
            </w:r>
          </w:p>
        </w:tc>
        <w:tc>
          <w:tcPr>
            <w:tcW w:type="dxa" w:w="4300"/>
            <w:vAlign w:val="center"/>
            <w:tcMar>
              <w:top w:w="90" w:type="dxa"/>
              <w:start w:w="100" w:type="dxa"/>
              <w:bottom w:w="90" w:type="dxa"/>
              <w:end w:w="100" w:type="dxa"/>
            </w:tcMar>
          </w:tcPr>
          <w:p>
            <w:pPr>
              <w:spacing w:before="0" w:after="0" w:line="252" w:lineRule="auto"/>
            </w:pPr>
            <w:r/>
            <w:r>
              <w:rPr>
                <w:rFonts w:ascii="Aptos" w:hAnsi="Aptos"/>
                <w:b w:val="0"/>
                <w:color w:val="1F2937"/>
                <w:sz w:val="16"/>
              </w:rPr>
              <w:t>Co-diseño local, recursos bilingües, mediadores, formación en interculturalidad y reconocimiento de saberes territoriales.</w:t>
            </w:r>
          </w:p>
        </w:tc>
        <w:tc>
          <w:tcPr>
            <w:tcW w:type="dxa" w:w="1656"/>
            <w:vAlign w:val="center"/>
            <w:tcMar>
              <w:top w:w="90" w:type="dxa"/>
              <w:start w:w="100" w:type="dxa"/>
              <w:bottom w:w="90" w:type="dxa"/>
              <w:end w:w="100" w:type="dxa"/>
            </w:tcMar>
          </w:tcPr>
          <w:p>
            <w:pPr>
              <w:spacing w:before="0" w:after="0" w:line="252" w:lineRule="auto"/>
            </w:pPr>
            <w:r/>
            <w:r>
              <w:rPr>
                <w:rFonts w:ascii="Aptos" w:hAnsi="Aptos"/>
                <w:b w:val="0"/>
                <w:color w:val="1F2937"/>
                <w:sz w:val="16"/>
              </w:rPr>
              <w:t>[3][4][19]</w:t>
            </w:r>
          </w:p>
        </w:tc>
      </w:tr>
      <w:tr>
        <w:trPr>
          <w:cantSplit/>
        </w:trPr>
        <w:tc>
          <w:tcPr>
            <w:tcW w:type="dxa" w:w="21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Jóvenes y adultos</w:t>
            </w:r>
          </w:p>
        </w:tc>
        <w:tc>
          <w:tcPr>
            <w:tcW w:type="dxa" w:w="2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Básica flexible, media, técnica y superior</w:t>
            </w:r>
          </w:p>
        </w:tc>
        <w:tc>
          <w:tcPr>
            <w:tcW w:type="dxa" w:w="3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Asistencia irregular, trabajo/cuidado, trayectorias fragmentadas y necesidad de vincular aprendizaje con empleo.</w:t>
            </w:r>
          </w:p>
        </w:tc>
        <w:tc>
          <w:tcPr>
            <w:tcW w:type="dxa" w:w="43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Horarios flexibles, reconocimiento de aprendizajes previos, tutoría, modularidad y evaluación auténtica.</w:t>
            </w:r>
          </w:p>
        </w:tc>
        <w:tc>
          <w:tcPr>
            <w:tcW w:type="dxa" w:w="16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[4][15][20]</w:t>
            </w:r>
          </w:p>
        </w:tc>
      </w:tr>
      <w:tr>
        <w:trPr>
          <w:cantSplit/>
        </w:trPr>
        <w:tc>
          <w:tcPr>
            <w:tcW w:type="dxa" w:w="2100"/>
            <w:vAlign w:val="center"/>
            <w:tcMar>
              <w:top w:w="90" w:type="dxa"/>
              <w:start w:w="100" w:type="dxa"/>
              <w:bottom w:w="90" w:type="dxa"/>
              <w:end w:w="100" w:type="dxa"/>
            </w:tcMar>
          </w:tcPr>
          <w:p>
            <w:pPr>
              <w:spacing w:before="0" w:after="0" w:line="252" w:lineRule="auto"/>
            </w:pPr>
            <w:r/>
            <w:r>
              <w:rPr>
                <w:rFonts w:ascii="Aptos" w:hAnsi="Aptos"/>
                <w:b/>
                <w:color w:val="17365D"/>
                <w:sz w:val="16"/>
              </w:rPr>
              <w:t>Sector privado/temporal</w:t>
            </w:r>
          </w:p>
        </w:tc>
        <w:tc>
          <w:tcPr>
            <w:tcW w:type="dxa" w:w="2600"/>
            <w:vAlign w:val="center"/>
            <w:tcMar>
              <w:top w:w="90" w:type="dxa"/>
              <w:start w:w="100" w:type="dxa"/>
              <w:bottom w:w="90" w:type="dxa"/>
              <w:end w:w="100" w:type="dxa"/>
            </w:tcMar>
          </w:tcPr>
          <w:p>
            <w:pPr>
              <w:spacing w:before="0" w:after="0" w:line="252" w:lineRule="auto"/>
            </w:pPr>
            <w:r/>
            <w:r>
              <w:rPr>
                <w:rFonts w:ascii="Aptos" w:hAnsi="Aptos"/>
                <w:b w:val="0"/>
                <w:color w:val="1F2937"/>
                <w:sz w:val="16"/>
              </w:rPr>
              <w:t>Todos, con especial severidad en inicial y superior</w:t>
            </w:r>
          </w:p>
        </w:tc>
        <w:tc>
          <w:tcPr>
            <w:tcW w:type="dxa" w:w="3600"/>
            <w:vAlign w:val="center"/>
            <w:tcMar>
              <w:top w:w="90" w:type="dxa"/>
              <w:start w:w="100" w:type="dxa"/>
              <w:bottom w:w="90" w:type="dxa"/>
              <w:end w:w="100" w:type="dxa"/>
            </w:tcMar>
          </w:tcPr>
          <w:p>
            <w:pPr>
              <w:spacing w:before="0" w:after="0" w:line="252" w:lineRule="auto"/>
            </w:pPr>
            <w:r/>
            <w:r>
              <w:rPr>
                <w:rFonts w:ascii="Aptos" w:hAnsi="Aptos"/>
                <w:b w:val="0"/>
                <w:color w:val="1F2937"/>
                <w:sz w:val="16"/>
              </w:rPr>
              <w:t>Contratos cortos, horas no pagadas, baja protección, múltiples empleadores y temor a reclamar.</w:t>
            </w:r>
          </w:p>
        </w:tc>
        <w:tc>
          <w:tcPr>
            <w:tcW w:type="dxa" w:w="4300"/>
            <w:vAlign w:val="center"/>
            <w:tcMar>
              <w:top w:w="90" w:type="dxa"/>
              <w:start w:w="100" w:type="dxa"/>
              <w:bottom w:w="90" w:type="dxa"/>
              <w:end w:w="100" w:type="dxa"/>
            </w:tcMar>
          </w:tcPr>
          <w:p>
            <w:pPr>
              <w:spacing w:before="0" w:after="0" w:line="252" w:lineRule="auto"/>
            </w:pPr>
            <w:r/>
            <w:r>
              <w:rPr>
                <w:rFonts w:ascii="Aptos" w:hAnsi="Aptos"/>
                <w:b w:val="0"/>
                <w:color w:val="1F2937"/>
                <w:sz w:val="16"/>
              </w:rPr>
              <w:t>Pisos contractuales, pago de preparación/evaluación, transparencia de carga y rutas de carrera.</w:t>
            </w:r>
          </w:p>
        </w:tc>
        <w:tc>
          <w:tcPr>
            <w:tcW w:type="dxa" w:w="1656"/>
            <w:vAlign w:val="center"/>
            <w:tcMar>
              <w:top w:w="90" w:type="dxa"/>
              <w:start w:w="100" w:type="dxa"/>
              <w:bottom w:w="90" w:type="dxa"/>
              <w:end w:w="100" w:type="dxa"/>
            </w:tcMar>
          </w:tcPr>
          <w:p>
            <w:pPr>
              <w:spacing w:before="0" w:after="0" w:line="252" w:lineRule="auto"/>
            </w:pPr>
            <w:r/>
            <w:r>
              <w:rPr>
                <w:rFonts w:ascii="Aptos" w:hAnsi="Aptos"/>
                <w:b w:val="0"/>
                <w:color w:val="1F2937"/>
                <w:sz w:val="16"/>
              </w:rPr>
              <w:t>[6][11][16][21][24]</w:t>
            </w:r>
          </w:p>
        </w:tc>
      </w:tr>
      <w:tr>
        <w:trPr>
          <w:cantSplit/>
        </w:trPr>
        <w:tc>
          <w:tcPr>
            <w:tcW w:type="dxa" w:w="2100"/>
            <w:vAlign w:val="center"/>
            <w:tcMar>
              <w:top w:w="90" w:type="dxa"/>
              <w:start w:w="100" w:type="dxa"/>
              <w:bottom w:w="90" w:type="dxa"/>
              <w:end w:w="100" w:type="dxa"/>
            </w:tcMar>
            <w:shd w:fill="F6F8FA"/>
          </w:tcPr>
          <w:p>
            <w:pPr>
              <w:spacing w:before="0" w:after="0" w:line="252" w:lineRule="auto"/>
            </w:pPr>
            <w:r/>
            <w:r>
              <w:rPr>
                <w:rFonts w:ascii="Aptos" w:hAnsi="Aptos"/>
                <w:b/>
                <w:color w:val="17365D"/>
                <w:sz w:val="16"/>
              </w:rPr>
              <w:t>IA y digitalización</w:t>
            </w:r>
          </w:p>
        </w:tc>
        <w:tc>
          <w:tcPr>
            <w:tcW w:type="dxa" w:w="2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Primaria a superior</w:t>
            </w:r>
          </w:p>
        </w:tc>
        <w:tc>
          <w:tcPr>
            <w:tcW w:type="dxa" w:w="36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Brecha de acceso y habilidades; dudas sobre autoría, evaluación, privacidad y dependencia tecnológica.</w:t>
            </w:r>
          </w:p>
        </w:tc>
        <w:tc>
          <w:tcPr>
            <w:tcW w:type="dxa" w:w="43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Políticas simples por nivel, alfabetización docente, herramientas aprobadas, alternativas offline y rediseño de evaluación.</w:t>
            </w:r>
          </w:p>
        </w:tc>
        <w:tc>
          <w:tcPr>
            <w:tcW w:type="dxa" w:w="165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6"/>
              </w:rPr>
              <w:t>[13][22][23]</w:t>
            </w:r>
          </w:p>
        </w:tc>
      </w:tr>
    </w:tbl>
    <w:p>
      <w:pPr>
        <w:pStyle w:val="Heading1"/>
        <w:pageBreakBefore/>
      </w:pPr>
      <w:r>
        <w:t>Priorización regional de soluciones</w:t>
      </w:r>
    </w:p>
    <w:tbl>
      <w:tblPr>
        <w:tblStyle w:val="TableGrid"/>
        <w:tblW w:type="dxa" w:w="14256"/>
        <w:jc w:val="left"/>
        <w:tblLayout w:type="fixed"/>
        <w:tblLook w:firstColumn="1" w:firstRow="1" w:lastColumn="0" w:lastRow="0" w:noHBand="0" w:noVBand="1" w:val="04A0"/>
        <w:tblInd w:w="120" w:type="dxa"/>
      </w:tblPr>
      <w:tblGrid>
        <w:gridCol w:w="650"/>
        <w:gridCol w:w="3000"/>
        <w:gridCol w:w="6900"/>
        <w:gridCol w:w="3706"/>
      </w:tblGrid>
      <w:tr>
        <w:trPr>
          <w:tblHeader w:val="true"/>
        </w:trPr>
        <w:tc>
          <w:tcPr>
            <w:tcW w:type="dxa" w:w="65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w:t>
            </w:r>
          </w:p>
        </w:tc>
        <w:tc>
          <w:tcPr>
            <w:tcW w:type="dxa" w:w="30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Prioridad</w:t>
            </w:r>
          </w:p>
        </w:tc>
        <w:tc>
          <w:tcPr>
            <w:tcW w:type="dxa" w:w="6900"/>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Intervención concreta</w:t>
            </w:r>
          </w:p>
        </w:tc>
        <w:tc>
          <w:tcPr>
            <w:tcW w:type="dxa" w:w="3706"/>
            <w:vAlign w:val="center"/>
            <w:tcMar>
              <w:top w:w="90" w:type="dxa"/>
              <w:start w:w="100" w:type="dxa"/>
              <w:bottom w:w="90" w:type="dxa"/>
              <w:end w:w="100" w:type="dxa"/>
            </w:tcMar>
            <w:shd w:fill="17365D"/>
          </w:tcPr>
          <w:p>
            <w:pPr>
              <w:spacing w:before="0" w:after="0" w:line="252" w:lineRule="auto"/>
            </w:pPr>
            <w:r/>
            <w:r>
              <w:rPr>
                <w:rFonts w:ascii="Aptos" w:hAnsi="Aptos"/>
                <w:b/>
                <w:color w:val="FFFFFF"/>
                <w:sz w:val="17"/>
              </w:rPr>
              <w:t>Resultado esperado</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1</w:t>
            </w:r>
          </w:p>
        </w:tc>
        <w:tc>
          <w:tcPr>
            <w:tcW w:type="dxa" w:w="3000"/>
            <w:vAlign w:val="center"/>
            <w:tcMar>
              <w:top w:w="90" w:type="dxa"/>
              <w:start w:w="100" w:type="dxa"/>
              <w:bottom w:w="90" w:type="dxa"/>
              <w:end w:w="100" w:type="dxa"/>
            </w:tcMar>
          </w:tcPr>
          <w:p>
            <w:pPr>
              <w:spacing w:before="0" w:after="0" w:line="252" w:lineRule="auto"/>
            </w:pPr>
            <w:r/>
            <w:r>
              <w:rPr>
                <w:rFonts w:ascii="Aptos" w:hAnsi="Aptos"/>
                <w:b/>
                <w:color w:val="17365D"/>
                <w:sz w:val="17"/>
              </w:rPr>
              <w:t>Recuperar tiempo pedagógico</w:t>
            </w:r>
          </w:p>
        </w:tc>
        <w:tc>
          <w:tcPr>
            <w:tcW w:type="dxa" w:w="6900"/>
            <w:vAlign w:val="center"/>
            <w:tcMar>
              <w:top w:w="90" w:type="dxa"/>
              <w:start w:w="100" w:type="dxa"/>
              <w:bottom w:w="90" w:type="dxa"/>
              <w:end w:w="100" w:type="dxa"/>
            </w:tcMar>
          </w:tcPr>
          <w:p>
            <w:pPr>
              <w:spacing w:before="0" w:after="0" w:line="252" w:lineRule="auto"/>
            </w:pPr>
            <w:r/>
            <w:r>
              <w:rPr>
                <w:rFonts w:ascii="Aptos" w:hAnsi="Aptos"/>
                <w:b w:val="0"/>
                <w:color w:val="1F2937"/>
                <w:sz w:val="17"/>
              </w:rPr>
              <w:t>Eliminar duplicidades, integrar planeación-evaluación-reporte, proteger horas no lectivas y reconocer preparación/corrección en contratos.</w:t>
            </w:r>
          </w:p>
        </w:tc>
        <w:tc>
          <w:tcPr>
            <w:tcW w:type="dxa" w:w="3706"/>
            <w:vAlign w:val="center"/>
            <w:tcMar>
              <w:top w:w="90" w:type="dxa"/>
              <w:start w:w="100" w:type="dxa"/>
              <w:bottom w:w="90" w:type="dxa"/>
              <w:end w:w="100" w:type="dxa"/>
            </w:tcMar>
          </w:tcPr>
          <w:p>
            <w:pPr>
              <w:spacing w:before="0" w:after="0" w:line="252" w:lineRule="auto"/>
            </w:pPr>
            <w:r/>
            <w:r>
              <w:rPr>
                <w:rFonts w:ascii="Aptos" w:hAnsi="Aptos"/>
                <w:b w:val="0"/>
                <w:color w:val="1F2937"/>
                <w:sz w:val="17"/>
              </w:rPr>
              <w:t>Alivio inmediato de carga y mejor retroalimentación.</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2</w:t>
            </w:r>
          </w:p>
        </w:tc>
        <w:tc>
          <w:tcPr>
            <w:tcW w:type="dxa" w:w="3000"/>
            <w:vAlign w:val="center"/>
            <w:tcMar>
              <w:top w:w="90" w:type="dxa"/>
              <w:start w:w="100" w:type="dxa"/>
              <w:bottom w:w="90" w:type="dxa"/>
              <w:end w:w="100" w:type="dxa"/>
            </w:tcMar>
            <w:shd w:fill="F6F8FA"/>
          </w:tcPr>
          <w:p>
            <w:pPr>
              <w:spacing w:before="0" w:after="0" w:line="252" w:lineRule="auto"/>
            </w:pPr>
            <w:r/>
            <w:r>
              <w:rPr>
                <w:rFonts w:ascii="Aptos" w:hAnsi="Aptos"/>
                <w:b/>
                <w:color w:val="17365D"/>
                <w:sz w:val="17"/>
              </w:rPr>
              <w:t>Apoyo para convivencia, salud mental e inclusión</w:t>
            </w:r>
          </w:p>
        </w:tc>
        <w:tc>
          <w:tcPr>
            <w:tcW w:type="dxa" w:w="69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Equipos interdisciplinarios, protocolos de agresión, derivación, DUA práctico y límites claros con familias.</w:t>
            </w:r>
          </w:p>
        </w:tc>
        <w:tc>
          <w:tcPr>
            <w:tcW w:type="dxa" w:w="370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Reduce desgaste, riesgo y abandono profesional.</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3</w:t>
            </w:r>
          </w:p>
        </w:tc>
        <w:tc>
          <w:tcPr>
            <w:tcW w:type="dxa" w:w="3000"/>
            <w:vAlign w:val="center"/>
            <w:tcMar>
              <w:top w:w="90" w:type="dxa"/>
              <w:start w:w="100" w:type="dxa"/>
              <w:bottom w:w="90" w:type="dxa"/>
              <w:end w:w="100" w:type="dxa"/>
            </w:tcMar>
          </w:tcPr>
          <w:p>
            <w:pPr>
              <w:spacing w:before="0" w:after="0" w:line="252" w:lineRule="auto"/>
            </w:pPr>
            <w:r/>
            <w:r>
              <w:rPr>
                <w:rFonts w:ascii="Aptos" w:hAnsi="Aptos"/>
                <w:b/>
                <w:color w:val="17365D"/>
                <w:sz w:val="17"/>
              </w:rPr>
              <w:t>Recursos editables y situados</w:t>
            </w:r>
          </w:p>
        </w:tc>
        <w:tc>
          <w:tcPr>
            <w:tcW w:type="dxa" w:w="6900"/>
            <w:vAlign w:val="center"/>
            <w:tcMar>
              <w:top w:w="90" w:type="dxa"/>
              <w:start w:w="100" w:type="dxa"/>
              <w:bottom w:w="90" w:type="dxa"/>
              <w:end w:w="100" w:type="dxa"/>
            </w:tcMar>
          </w:tcPr>
          <w:p>
            <w:pPr>
              <w:spacing w:before="0" w:after="0" w:line="252" w:lineRule="auto"/>
            </w:pPr>
            <w:r/>
            <w:r>
              <w:rPr>
                <w:rFonts w:ascii="Aptos" w:hAnsi="Aptos"/>
                <w:b w:val="0"/>
                <w:color w:val="1F2937"/>
                <w:sz w:val="17"/>
              </w:rPr>
              <w:t>Secuencias, rúbricas, proyectos y adaptaciones por nivel, disciplina, lengua, territorio y modalidad; versiones offline.</w:t>
            </w:r>
          </w:p>
        </w:tc>
        <w:tc>
          <w:tcPr>
            <w:tcW w:type="dxa" w:w="3706"/>
            <w:vAlign w:val="center"/>
            <w:tcMar>
              <w:top w:w="90" w:type="dxa"/>
              <w:start w:w="100" w:type="dxa"/>
              <w:bottom w:w="90" w:type="dxa"/>
              <w:end w:w="100" w:type="dxa"/>
            </w:tcMar>
          </w:tcPr>
          <w:p>
            <w:pPr>
              <w:spacing w:before="0" w:after="0" w:line="252" w:lineRule="auto"/>
            </w:pPr>
            <w:r/>
            <w:r>
              <w:rPr>
                <w:rFonts w:ascii="Aptos" w:hAnsi="Aptos"/>
                <w:b w:val="0"/>
                <w:color w:val="1F2937"/>
                <w:sz w:val="17"/>
              </w:rPr>
              <w:t>Convierte formación en acción y ahorra tiempo.</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4</w:t>
            </w:r>
          </w:p>
        </w:tc>
        <w:tc>
          <w:tcPr>
            <w:tcW w:type="dxa" w:w="3000"/>
            <w:vAlign w:val="center"/>
            <w:tcMar>
              <w:top w:w="90" w:type="dxa"/>
              <w:start w:w="100" w:type="dxa"/>
              <w:bottom w:w="90" w:type="dxa"/>
              <w:end w:w="100" w:type="dxa"/>
            </w:tcMar>
            <w:shd w:fill="F6F8FA"/>
          </w:tcPr>
          <w:p>
            <w:pPr>
              <w:spacing w:before="0" w:after="0" w:line="252" w:lineRule="auto"/>
            </w:pPr>
            <w:r/>
            <w:r>
              <w:rPr>
                <w:rFonts w:ascii="Aptos" w:hAnsi="Aptos"/>
                <w:b/>
                <w:color w:val="17365D"/>
                <w:sz w:val="17"/>
              </w:rPr>
              <w:t>Infraestructura y soporte funcional</w:t>
            </w:r>
          </w:p>
        </w:tc>
        <w:tc>
          <w:tcPr>
            <w:tcW w:type="dxa" w:w="69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Internet, equipos, laboratorios, accesibilidad, mantenimiento y asistencia técnica, con prioridad rural/TP.</w:t>
            </w:r>
          </w:p>
        </w:tc>
        <w:tc>
          <w:tcPr>
            <w:tcW w:type="dxa" w:w="370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Evita que el docente compense fallas del sistema con recursos propios.</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5</w:t>
            </w:r>
          </w:p>
        </w:tc>
        <w:tc>
          <w:tcPr>
            <w:tcW w:type="dxa" w:w="3000"/>
            <w:vAlign w:val="center"/>
            <w:tcMar>
              <w:top w:w="90" w:type="dxa"/>
              <w:start w:w="100" w:type="dxa"/>
              <w:bottom w:w="90" w:type="dxa"/>
              <w:end w:w="100" w:type="dxa"/>
            </w:tcMar>
          </w:tcPr>
          <w:p>
            <w:pPr>
              <w:spacing w:before="0" w:after="0" w:line="252" w:lineRule="auto"/>
            </w:pPr>
            <w:r/>
            <w:r>
              <w:rPr>
                <w:rFonts w:ascii="Aptos" w:hAnsi="Aptos"/>
                <w:b/>
                <w:color w:val="17365D"/>
                <w:sz w:val="17"/>
              </w:rPr>
              <w:t>Carrera y contratación dignas</w:t>
            </w:r>
          </w:p>
        </w:tc>
        <w:tc>
          <w:tcPr>
            <w:tcW w:type="dxa" w:w="6900"/>
            <w:vAlign w:val="center"/>
            <w:tcMar>
              <w:top w:w="90" w:type="dxa"/>
              <w:start w:w="100" w:type="dxa"/>
              <w:bottom w:w="90" w:type="dxa"/>
              <w:end w:w="100" w:type="dxa"/>
            </w:tcMar>
          </w:tcPr>
          <w:p>
            <w:pPr>
              <w:spacing w:before="0" w:after="0" w:line="252" w:lineRule="auto"/>
            </w:pPr>
            <w:r/>
            <w:r>
              <w:rPr>
                <w:rFonts w:ascii="Aptos" w:hAnsi="Aptos"/>
                <w:b w:val="0"/>
                <w:color w:val="1F2937"/>
                <w:sz w:val="17"/>
              </w:rPr>
              <w:t>Pisos de estabilidad, pago del trabajo invisible, mentoría inicial, incentivos territoriales y rutas transparentes.</w:t>
            </w:r>
          </w:p>
        </w:tc>
        <w:tc>
          <w:tcPr>
            <w:tcW w:type="dxa" w:w="3706"/>
            <w:vAlign w:val="center"/>
            <w:tcMar>
              <w:top w:w="90" w:type="dxa"/>
              <w:start w:w="100" w:type="dxa"/>
              <w:bottom w:w="90" w:type="dxa"/>
              <w:end w:w="100" w:type="dxa"/>
            </w:tcMar>
          </w:tcPr>
          <w:p>
            <w:pPr>
              <w:spacing w:before="0" w:after="0" w:line="252" w:lineRule="auto"/>
            </w:pPr>
            <w:r/>
            <w:r>
              <w:rPr>
                <w:rFonts w:ascii="Aptos" w:hAnsi="Aptos"/>
                <w:b w:val="0"/>
                <w:color w:val="1F2937"/>
                <w:sz w:val="17"/>
              </w:rPr>
              <w:t>Mejora atracción, bienestar y permanencia.</w:t>
            </w:r>
          </w:p>
        </w:tc>
      </w:tr>
      <w:tr>
        <w:trPr>
          <w:cantSplit/>
        </w:trPr>
        <w:tc>
          <w:tcPr>
            <w:tcW w:type="dxa" w:w="650"/>
            <w:vAlign w:val="center"/>
            <w:tcMar>
              <w:top w:w="90" w:type="dxa"/>
              <w:start w:w="100" w:type="dxa"/>
              <w:bottom w:w="90" w:type="dxa"/>
              <w:end w:w="100" w:type="dxa"/>
            </w:tcMar>
            <w:shd w:fill="EAF1F8"/>
          </w:tcPr>
          <w:p>
            <w:pPr>
              <w:spacing w:before="0" w:after="0" w:line="252" w:lineRule="auto"/>
            </w:pPr>
            <w:r/>
            <w:r>
              <w:rPr>
                <w:rFonts w:ascii="Aptos" w:hAnsi="Aptos"/>
                <w:b/>
                <w:color w:val="17365D"/>
                <w:sz w:val="17"/>
              </w:rPr>
              <w:t>6</w:t>
            </w:r>
          </w:p>
        </w:tc>
        <w:tc>
          <w:tcPr>
            <w:tcW w:type="dxa" w:w="3000"/>
            <w:vAlign w:val="center"/>
            <w:tcMar>
              <w:top w:w="90" w:type="dxa"/>
              <w:start w:w="100" w:type="dxa"/>
              <w:bottom w:w="90" w:type="dxa"/>
              <w:end w:w="100" w:type="dxa"/>
            </w:tcMar>
            <w:shd w:fill="F6F8FA"/>
          </w:tcPr>
          <w:p>
            <w:pPr>
              <w:spacing w:before="0" w:after="0" w:line="252" w:lineRule="auto"/>
            </w:pPr>
            <w:r/>
            <w:r>
              <w:rPr>
                <w:rFonts w:ascii="Aptos" w:hAnsi="Aptos"/>
                <w:b/>
                <w:color w:val="17365D"/>
                <w:sz w:val="17"/>
              </w:rPr>
              <w:t>IA con reglas y propósito</w:t>
            </w:r>
          </w:p>
        </w:tc>
        <w:tc>
          <w:tcPr>
            <w:tcW w:type="dxa" w:w="6900"/>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Herramientas aprobadas, privacidad, integridad, evaluación auténtica y formación diferenciada por nivel.</w:t>
            </w:r>
          </w:p>
        </w:tc>
        <w:tc>
          <w:tcPr>
            <w:tcW w:type="dxa" w:w="3706"/>
            <w:vAlign w:val="center"/>
            <w:tcMar>
              <w:top w:w="90" w:type="dxa"/>
              <w:start w:w="100" w:type="dxa"/>
              <w:bottom w:w="90" w:type="dxa"/>
              <w:end w:w="100" w:type="dxa"/>
            </w:tcMar>
            <w:shd w:fill="F6F8FA"/>
          </w:tcPr>
          <w:p>
            <w:pPr>
              <w:spacing w:before="0" w:after="0" w:line="252" w:lineRule="auto"/>
            </w:pPr>
            <w:r/>
            <w:r>
              <w:rPr>
                <w:rFonts w:ascii="Aptos" w:hAnsi="Aptos"/>
                <w:b w:val="0"/>
                <w:color w:val="1F2937"/>
                <w:sz w:val="17"/>
              </w:rPr>
              <w:t>Reduce incertidumbre y aprovecha la IA sin aumentar inequidad.</w:t>
            </w:r>
          </w:p>
        </w:tc>
      </w:tr>
    </w:tbl>
    <w:p>
      <w:pPr>
        <w:pStyle w:val="Heading1"/>
        <w:pageBreakBefore/>
      </w:pPr>
      <w:r>
        <w:t>Fuentes consultadas</w:t>
      </w:r>
    </w:p>
    <w:p>
      <w:r>
        <w:rPr>
          <w:rFonts w:ascii="Aptos" w:hAnsi="Aptos"/>
          <w:color w:val="5B6573"/>
          <w:sz w:val="18"/>
        </w:rPr>
        <w:t>Selección priorizada. Fecha de consulta: 17 de julio de 2026. Los enlaces conducen a la fuente primaria o al registro académico.</w:t>
      </w:r>
    </w:p>
    <w:p>
      <w:pPr>
        <w:spacing w:after="60"/>
        <w:ind w:left="259" w:hanging="259"/>
      </w:pPr>
      <w:r>
        <w:rPr>
          <w:rFonts w:ascii="Aptos" w:hAnsi="Aptos"/>
          <w:b/>
          <w:color w:val="17365D"/>
          <w:sz w:val="18"/>
        </w:rPr>
        <w:t xml:space="preserve">[1] </w:t>
      </w:r>
      <w:r>
        <w:rPr>
          <w:rFonts w:ascii="Aptos" w:hAnsi="Aptos"/>
          <w:b/>
          <w:color w:val="1F2937"/>
          <w:sz w:val="18"/>
        </w:rPr>
        <w:t>Documento suministrado: MAPEO DE NECESIDADES Y DOLORES DOCENTES</w:t>
      </w:r>
      <w:r>
        <w:rPr>
          <w:rFonts w:ascii="Aptos" w:hAnsi="Aptos"/>
          <w:color w:val="5B6573"/>
          <w:sz w:val="17"/>
        </w:rPr>
        <w:t xml:space="preserve"> — Marco de escucha: comunidades docentes, comentarios de creadores, Reddit/Quora, redes institucionales y portales de recursos.</w:t>
      </w:r>
    </w:p>
    <w:p>
      <w:pPr>
        <w:spacing w:after="60"/>
        <w:ind w:left="259" w:hanging="259"/>
      </w:pPr>
      <w:r>
        <w:rPr>
          <w:rFonts w:ascii="Aptos" w:hAnsi="Aptos"/>
          <w:b/>
          <w:color w:val="17365D"/>
          <w:sz w:val="18"/>
        </w:rPr>
        <w:t xml:space="preserve">[2] </w:t>
      </w:r>
      <w:hyperlink r:id="rId11">
        <w:r>
          <w:rPr>
            <w:rFonts w:ascii="Aptos" w:hAnsi="Aptos"/>
            <w:color w:val="2F75B5"/>
            <w:sz w:val="18"/>
            <w:u w:val="single"/>
          </w:rPr>
          <w:t>OCDE, TALIS 2024 - nota de país: Colombia</w:t>
        </w:r>
      </w:hyperlink>
      <w:r>
        <w:rPr>
          <w:rFonts w:ascii="Aptos" w:hAnsi="Aptos"/>
          <w:color w:val="5B6573"/>
          <w:sz w:val="17"/>
        </w:rPr>
        <w:t xml:space="preserve"> — Condiciones, tiempo de trabajo, estrés, diversidad de aula, satisfacción y retención en secundaria baja.</w:t>
      </w:r>
    </w:p>
    <w:p>
      <w:pPr>
        <w:spacing w:after="60"/>
        <w:ind w:left="259" w:hanging="259"/>
      </w:pPr>
      <w:r>
        <w:rPr>
          <w:rFonts w:ascii="Aptos" w:hAnsi="Aptos"/>
          <w:b/>
          <w:color w:val="17365D"/>
          <w:sz w:val="18"/>
        </w:rPr>
        <w:t xml:space="preserve">[3] </w:t>
      </w:r>
      <w:hyperlink r:id="rId12">
        <w:r>
          <w:rPr>
            <w:rFonts w:ascii="Aptos" w:hAnsi="Aptos"/>
            <w:color w:val="2F75B5"/>
            <w:sz w:val="18"/>
            <w:u w:val="single"/>
          </w:rPr>
          <w:t>Ministerio de Educación Nacional de Colombia, Plan Especial de Educación Rural</w:t>
        </w:r>
      </w:hyperlink>
      <w:r>
        <w:rPr>
          <w:rFonts w:ascii="Aptos" w:hAnsi="Aptos"/>
          <w:color w:val="5B6573"/>
          <w:sz w:val="17"/>
        </w:rPr>
        <w:t xml:space="preserve"> — Aislamiento, formación pertinente, infraestructura, conectividad e incentivos para docentes rurales.</w:t>
      </w:r>
    </w:p>
    <w:p>
      <w:pPr>
        <w:spacing w:after="60"/>
        <w:ind w:left="259" w:hanging="259"/>
      </w:pPr>
      <w:r>
        <w:rPr>
          <w:rFonts w:ascii="Aptos" w:hAnsi="Aptos"/>
          <w:b/>
          <w:color w:val="17365D"/>
          <w:sz w:val="18"/>
        </w:rPr>
        <w:t xml:space="preserve">[4] </w:t>
      </w:r>
      <w:hyperlink r:id="rId13">
        <w:r>
          <w:rPr>
            <w:rFonts w:ascii="Aptos" w:hAnsi="Aptos"/>
            <w:color w:val="2F75B5"/>
            <w:sz w:val="18"/>
            <w:u w:val="single"/>
          </w:rPr>
          <w:t>MEN Colombia, Política Integral de Educación Rural</w:t>
        </w:r>
      </w:hyperlink>
      <w:r>
        <w:rPr>
          <w:rFonts w:ascii="Aptos" w:hAnsi="Aptos"/>
          <w:color w:val="5B6573"/>
          <w:sz w:val="17"/>
        </w:rPr>
        <w:t xml:space="preserve"> — Necesidades desde primera infancia hasta superior: pertinencia territorial, permanencia, infraestructura, TIC y desarrollo profesoral.</w:t>
      </w:r>
    </w:p>
    <w:p>
      <w:pPr>
        <w:spacing w:after="60"/>
        <w:ind w:left="259" w:hanging="259"/>
      </w:pPr>
      <w:r>
        <w:rPr>
          <w:rFonts w:ascii="Aptos" w:hAnsi="Aptos"/>
          <w:b/>
          <w:color w:val="17365D"/>
          <w:sz w:val="18"/>
        </w:rPr>
        <w:t xml:space="preserve">[5] </w:t>
      </w:r>
      <w:hyperlink r:id="rId14">
        <w:r>
          <w:rPr>
            <w:rFonts w:ascii="Aptos" w:hAnsi="Aptos"/>
            <w:color w:val="2F75B5"/>
            <w:sz w:val="18"/>
            <w:u w:val="single"/>
          </w:rPr>
          <w:t>UNICEF Colombia, Ruta para la educación inclusiva de personas con discapacidad</w:t>
        </w:r>
      </w:hyperlink>
      <w:r>
        <w:rPr>
          <w:rFonts w:ascii="Aptos" w:hAnsi="Aptos"/>
          <w:color w:val="5B6573"/>
          <w:sz w:val="17"/>
        </w:rPr>
        <w:t xml:space="preserve"> — Coordinación con familias, apoyos y profesionales para acceso, participación, permanencia y promoción.</w:t>
      </w:r>
    </w:p>
    <w:p>
      <w:pPr>
        <w:spacing w:after="60"/>
        <w:ind w:left="259" w:hanging="259"/>
      </w:pPr>
      <w:r>
        <w:rPr>
          <w:rFonts w:ascii="Aptos" w:hAnsi="Aptos"/>
          <w:b/>
          <w:color w:val="17365D"/>
          <w:sz w:val="18"/>
        </w:rPr>
        <w:t xml:space="preserve">[6] </w:t>
      </w:r>
      <w:hyperlink r:id="rId15">
        <w:r>
          <w:rPr>
            <w:rFonts w:ascii="Aptos" w:hAnsi="Aptos"/>
            <w:color w:val="2F75B5"/>
            <w:sz w:val="18"/>
            <w:u w:val="single"/>
          </w:rPr>
          <w:t>Romero-Caraballo, condiciones de trabajo de profesores universitarios colombianos</w:t>
        </w:r>
      </w:hyperlink>
      <w:r>
        <w:rPr>
          <w:rFonts w:ascii="Aptos" w:hAnsi="Aptos"/>
          <w:color w:val="5B6573"/>
          <w:sz w:val="17"/>
        </w:rPr>
        <w:t xml:space="preserve"> — Estudio con 160 profesores: carga multitarea, contrato, reconocimiento, autonomía y conciliación asociados al agotamiento.</w:t>
      </w:r>
    </w:p>
    <w:p>
      <w:pPr>
        <w:spacing w:after="60"/>
        <w:ind w:left="259" w:hanging="259"/>
      </w:pPr>
      <w:r>
        <w:rPr>
          <w:rFonts w:ascii="Aptos" w:hAnsi="Aptos"/>
          <w:b/>
          <w:color w:val="17365D"/>
          <w:sz w:val="18"/>
        </w:rPr>
        <w:t xml:space="preserve">[7] </w:t>
      </w:r>
      <w:hyperlink r:id="rId16">
        <w:r>
          <w:rPr>
            <w:rFonts w:ascii="Aptos" w:hAnsi="Aptos"/>
            <w:color w:val="2F75B5"/>
            <w:sz w:val="18"/>
            <w:u w:val="single"/>
          </w:rPr>
          <w:t>SEP México, Taller Intensivo de Formación Continua 2024</w:t>
        </w:r>
      </w:hyperlink>
      <w:r>
        <w:rPr>
          <w:rFonts w:ascii="Aptos" w:hAnsi="Aptos"/>
          <w:color w:val="5B6573"/>
          <w:sz w:val="17"/>
        </w:rPr>
        <w:t xml:space="preserve"> — Apropiación de la NEM, programa analítico, planeación por proyectos, evaluación formativa y trabajo colegiado.</w:t>
      </w:r>
    </w:p>
    <w:p>
      <w:pPr>
        <w:spacing w:after="60"/>
        <w:ind w:left="259" w:hanging="259"/>
      </w:pPr>
      <w:r>
        <w:rPr>
          <w:rFonts w:ascii="Aptos" w:hAnsi="Aptos"/>
          <w:b/>
          <w:color w:val="17365D"/>
          <w:sz w:val="18"/>
        </w:rPr>
        <w:t xml:space="preserve">[8] </w:t>
      </w:r>
      <w:hyperlink r:id="rId17">
        <w:r>
          <w:rPr>
            <w:rFonts w:ascii="Aptos" w:hAnsi="Aptos"/>
            <w:color w:val="2F75B5"/>
            <w:sz w:val="18"/>
            <w:u w:val="single"/>
          </w:rPr>
          <w:t>SEP México, Estrategia estatal de formación continua 2024 (San Luis Potosí)</w:t>
        </w:r>
      </w:hyperlink>
      <w:r>
        <w:rPr>
          <w:rFonts w:ascii="Aptos" w:hAnsi="Aptos"/>
          <w:color w:val="5B6573"/>
          <w:sz w:val="17"/>
        </w:rPr>
        <w:t xml:space="preserve"> — Diagnóstico que identifica comprensión, diseño, aplicación y seguimiento del programa analítico como reto.</w:t>
      </w:r>
    </w:p>
    <w:p>
      <w:pPr>
        <w:spacing w:after="60"/>
        <w:ind w:left="259" w:hanging="259"/>
      </w:pPr>
      <w:r>
        <w:rPr>
          <w:rFonts w:ascii="Aptos" w:hAnsi="Aptos"/>
          <w:b/>
          <w:color w:val="17365D"/>
          <w:sz w:val="18"/>
        </w:rPr>
        <w:t xml:space="preserve">[9] </w:t>
      </w:r>
      <w:hyperlink r:id="rId18">
        <w:r>
          <w:rPr>
            <w:rFonts w:ascii="Aptos" w:hAnsi="Aptos"/>
            <w:color w:val="2F75B5"/>
            <w:sz w:val="18"/>
            <w:u w:val="single"/>
          </w:rPr>
          <w:t>INEE México, Directrices para mejorar la educación multigrado</w:t>
        </w:r>
      </w:hyperlink>
      <w:r>
        <w:rPr>
          <w:rFonts w:ascii="Aptos" w:hAnsi="Aptos"/>
          <w:color w:val="5B6573"/>
          <w:sz w:val="17"/>
        </w:rPr>
        <w:t xml:space="preserve"> — Perfil, formación, materiales e infraestructura específicos para escuelas multigrado.</w:t>
      </w:r>
    </w:p>
    <w:p>
      <w:pPr>
        <w:spacing w:after="60"/>
        <w:ind w:left="259" w:hanging="259"/>
      </w:pPr>
      <w:r>
        <w:rPr>
          <w:rFonts w:ascii="Aptos" w:hAnsi="Aptos"/>
          <w:b/>
          <w:color w:val="17365D"/>
          <w:sz w:val="18"/>
        </w:rPr>
        <w:t xml:space="preserve">[10] </w:t>
      </w:r>
      <w:hyperlink r:id="rId19">
        <w:r>
          <w:rPr>
            <w:rFonts w:ascii="Aptos" w:hAnsi="Aptos"/>
            <w:color w:val="2F75B5"/>
            <w:sz w:val="18"/>
            <w:u w:val="single"/>
          </w:rPr>
          <w:t>CONEVAL México, Informe de Evaluación de la Política de Desarrollo Social 2024</w:t>
        </w:r>
      </w:hyperlink>
      <w:r>
        <w:rPr>
          <w:rFonts w:ascii="Aptos" w:hAnsi="Aptos"/>
          <w:color w:val="5B6573"/>
          <w:sz w:val="17"/>
        </w:rPr>
        <w:t xml:space="preserve"> — Brechas de infraestructura: en básica, 46,9% con internet y 34,3% con infraestructura adaptada; datos 2022-2023.</w:t>
      </w:r>
    </w:p>
    <w:p>
      <w:pPr>
        <w:spacing w:after="60"/>
        <w:ind w:left="259" w:hanging="259"/>
      </w:pPr>
      <w:r>
        <w:rPr>
          <w:rFonts w:ascii="Aptos" w:hAnsi="Aptos"/>
          <w:b/>
          <w:color w:val="17365D"/>
          <w:sz w:val="18"/>
        </w:rPr>
        <w:t xml:space="preserve">[11] </w:t>
      </w:r>
      <w:hyperlink r:id="rId20">
        <w:r>
          <w:rPr>
            <w:rFonts w:ascii="Aptos" w:hAnsi="Aptos"/>
            <w:color w:val="2F75B5"/>
            <w:sz w:val="18"/>
            <w:u w:val="single"/>
          </w:rPr>
          <w:t>Anaya Torres, precariedad laboral en docentes universitarios mexicanos</w:t>
        </w:r>
      </w:hyperlink>
      <w:r>
        <w:rPr>
          <w:rFonts w:ascii="Aptos" w:hAnsi="Aptos"/>
          <w:color w:val="5B6573"/>
          <w:sz w:val="17"/>
        </w:rPr>
        <w:t xml:space="preserve"> — Voces de docentes por asignatura en IES privadas: bajos ingresos, inseguridad y necesidad de dignificación.</w:t>
      </w:r>
    </w:p>
    <w:p>
      <w:pPr>
        <w:spacing w:after="60"/>
        <w:ind w:left="259" w:hanging="259"/>
      </w:pPr>
      <w:r>
        <w:rPr>
          <w:rFonts w:ascii="Aptos" w:hAnsi="Aptos"/>
          <w:b/>
          <w:color w:val="17365D"/>
          <w:sz w:val="18"/>
        </w:rPr>
        <w:t xml:space="preserve">[12] </w:t>
      </w:r>
      <w:hyperlink r:id="rId21">
        <w:r>
          <w:rPr>
            <w:rFonts w:ascii="Aptos" w:hAnsi="Aptos"/>
            <w:color w:val="2F75B5"/>
            <w:sz w:val="18"/>
            <w:u w:val="single"/>
          </w:rPr>
          <w:t>Ministerio de Educación de Chile, Encuesta Nacional de Docentes y Educadoras 2025</w:t>
        </w:r>
      </w:hyperlink>
      <w:r>
        <w:rPr>
          <w:rFonts w:ascii="Aptos" w:hAnsi="Aptos"/>
          <w:color w:val="5B6573"/>
          <w:sz w:val="17"/>
        </w:rPr>
        <w:t xml:space="preserve"> — Fuentes de estrés en educación parvularia y escolar, tiempo de preparación, administración, inclusión y agresiones.</w:t>
      </w:r>
    </w:p>
    <w:p>
      <w:pPr>
        <w:spacing w:after="60"/>
        <w:ind w:left="259" w:hanging="259"/>
      </w:pPr>
      <w:r>
        <w:rPr>
          <w:rFonts w:ascii="Aptos" w:hAnsi="Aptos"/>
          <w:b/>
          <w:color w:val="17365D"/>
          <w:sz w:val="18"/>
        </w:rPr>
        <w:t xml:space="preserve">[13] </w:t>
      </w:r>
      <w:hyperlink r:id="rId22">
        <w:r>
          <w:rPr>
            <w:rFonts w:ascii="Aptos" w:hAnsi="Aptos"/>
            <w:color w:val="2F75B5"/>
            <w:sz w:val="18"/>
            <w:u w:val="single"/>
          </w:rPr>
          <w:t>OCDE, TALIS 2024 - nota de país: Chile</w:t>
        </w:r>
      </w:hyperlink>
      <w:r>
        <w:rPr>
          <w:rFonts w:ascii="Aptos" w:hAnsi="Aptos"/>
          <w:color w:val="5B6573"/>
          <w:sz w:val="17"/>
        </w:rPr>
        <w:t xml:space="preserve"> — Horas, administración, disciplina, diversidad, IA, bienestar, satisfacción y abandono previsto.</w:t>
      </w:r>
    </w:p>
    <w:p>
      <w:pPr>
        <w:spacing w:after="60"/>
        <w:ind w:left="259" w:hanging="259"/>
      </w:pPr>
      <w:r>
        <w:rPr>
          <w:rFonts w:ascii="Aptos" w:hAnsi="Aptos"/>
          <w:b/>
          <w:color w:val="17365D"/>
          <w:sz w:val="18"/>
        </w:rPr>
        <w:t xml:space="preserve">[14] </w:t>
      </w:r>
      <w:hyperlink r:id="rId23">
        <w:r>
          <w:rPr>
            <w:rFonts w:ascii="Aptos" w:hAnsi="Aptos"/>
            <w:color w:val="2F75B5"/>
            <w:sz w:val="18"/>
            <w:u w:val="single"/>
          </w:rPr>
          <w:t>Ministerio de Educación de Chile, Plan Nacional Docente 2024</w:t>
        </w:r>
      </w:hyperlink>
      <w:r>
        <w:rPr>
          <w:rFonts w:ascii="Aptos" w:hAnsi="Aptos"/>
          <w:color w:val="5B6573"/>
          <w:sz w:val="17"/>
        </w:rPr>
        <w:t xml:space="preserve"> — Bienestar, salud mental, violencia escolar, carga laboral, atracción y retención.</w:t>
      </w:r>
    </w:p>
    <w:p>
      <w:pPr>
        <w:spacing w:after="60"/>
        <w:ind w:left="259" w:hanging="259"/>
      </w:pPr>
      <w:r>
        <w:rPr>
          <w:rFonts w:ascii="Aptos" w:hAnsi="Aptos"/>
          <w:b/>
          <w:color w:val="17365D"/>
          <w:sz w:val="18"/>
        </w:rPr>
        <w:t xml:space="preserve">[15] </w:t>
      </w:r>
      <w:hyperlink r:id="rId24">
        <w:r>
          <w:rPr>
            <w:rFonts w:ascii="Aptos" w:hAnsi="Aptos"/>
            <w:color w:val="2F75B5"/>
            <w:sz w:val="18"/>
            <w:u w:val="single"/>
          </w:rPr>
          <w:t>CPEIP Chile, Estándares pedagógicos para Educación Media Técnico-Profesional</w:t>
        </w:r>
      </w:hyperlink>
      <w:r>
        <w:rPr>
          <w:rFonts w:ascii="Aptos" w:hAnsi="Aptos"/>
          <w:color w:val="5B6573"/>
          <w:sz w:val="17"/>
        </w:rPr>
        <w:t xml:space="preserve"> — Vinculación productiva, articulación, género, cambio tecnológico y habilidades del siglo XXI.</w:t>
      </w:r>
    </w:p>
    <w:p>
      <w:pPr>
        <w:spacing w:after="60"/>
        <w:ind w:left="259" w:hanging="259"/>
      </w:pPr>
      <w:r>
        <w:rPr>
          <w:rFonts w:ascii="Aptos" w:hAnsi="Aptos"/>
          <w:b/>
          <w:color w:val="17365D"/>
          <w:sz w:val="18"/>
        </w:rPr>
        <w:t xml:space="preserve">[16] </w:t>
      </w:r>
      <w:hyperlink r:id="rId25">
        <w:r>
          <w:rPr>
            <w:rFonts w:ascii="Aptos" w:hAnsi="Aptos"/>
            <w:color w:val="2F75B5"/>
            <w:sz w:val="18"/>
            <w:u w:val="single"/>
          </w:rPr>
          <w:t>Bienestar y burnout en docentes universitarios chilenos</w:t>
        </w:r>
      </w:hyperlink>
      <w:r>
        <w:rPr>
          <w:rFonts w:ascii="Aptos" w:hAnsi="Aptos"/>
          <w:color w:val="5B6573"/>
          <w:sz w:val="17"/>
        </w:rPr>
        <w:t xml:space="preserve"> — Estudio exploratorio en 54 académicos: 59,3% con presencia o riesgo de burnout; no generalizable al país.</w:t>
      </w:r>
    </w:p>
    <w:p>
      <w:pPr>
        <w:spacing w:after="60"/>
        <w:ind w:left="259" w:hanging="259"/>
      </w:pPr>
      <w:r>
        <w:rPr>
          <w:rFonts w:ascii="Aptos" w:hAnsi="Aptos"/>
          <w:b/>
          <w:color w:val="17365D"/>
          <w:sz w:val="18"/>
        </w:rPr>
        <w:t xml:space="preserve">[17] </w:t>
      </w:r>
      <w:hyperlink r:id="rId26">
        <w:r>
          <w:rPr>
            <w:rFonts w:ascii="Aptos" w:hAnsi="Aptos"/>
            <w:color w:val="2F75B5"/>
            <w:sz w:val="18"/>
            <w:u w:val="single"/>
          </w:rPr>
          <w:t>Consejo Nacional de Educación del Perú, seguimiento del PEN al 2024</w:t>
        </w:r>
      </w:hyperlink>
      <w:r>
        <w:rPr>
          <w:rFonts w:ascii="Aptos" w:hAnsi="Aptos"/>
          <w:color w:val="5B6573"/>
          <w:sz w:val="17"/>
        </w:rPr>
        <w:t xml:space="preserve"> — Bienestar docente: 31,6% con síntomas de ansiedad y 17,6% de depresión en 2022; advierte falta de actualización posterior.</w:t>
      </w:r>
    </w:p>
    <w:p>
      <w:pPr>
        <w:spacing w:after="60"/>
        <w:ind w:left="259" w:hanging="259"/>
      </w:pPr>
      <w:r>
        <w:rPr>
          <w:rFonts w:ascii="Aptos" w:hAnsi="Aptos"/>
          <w:b/>
          <w:color w:val="17365D"/>
          <w:sz w:val="18"/>
        </w:rPr>
        <w:t xml:space="preserve">[18] </w:t>
      </w:r>
      <w:hyperlink r:id="rId27">
        <w:r>
          <w:rPr>
            <w:rFonts w:ascii="Aptos" w:hAnsi="Aptos"/>
            <w:color w:val="2F75B5"/>
            <w:sz w:val="18"/>
            <w:u w:val="single"/>
          </w:rPr>
          <w:t>OIT, riesgos ocupacionales del personal docente peruano</w:t>
        </w:r>
      </w:hyperlink>
      <w:r>
        <w:rPr>
          <w:rFonts w:ascii="Aptos" w:hAnsi="Aptos"/>
          <w:color w:val="5B6573"/>
          <w:sz w:val="17"/>
        </w:rPr>
        <w:t xml:space="preserve"> — Sobrecarga, riesgos psicosociales, acústicos, ergonómicos y ambientales a partir de ENDO 2018, 2020 y 2021.</w:t>
      </w:r>
    </w:p>
    <w:p>
      <w:pPr>
        <w:spacing w:after="60"/>
        <w:ind w:left="259" w:hanging="259"/>
      </w:pPr>
      <w:r>
        <w:rPr>
          <w:rFonts w:ascii="Aptos" w:hAnsi="Aptos"/>
          <w:b/>
          <w:color w:val="17365D"/>
          <w:sz w:val="18"/>
        </w:rPr>
        <w:t xml:space="preserve">[19] </w:t>
      </w:r>
      <w:hyperlink r:id="rId28">
        <w:r>
          <w:rPr>
            <w:rFonts w:ascii="Aptos" w:hAnsi="Aptos"/>
            <w:color w:val="2F75B5"/>
            <w:sz w:val="18"/>
            <w:u w:val="single"/>
          </w:rPr>
          <w:t>OCDE, Education and Skills in Peru 2026</w:t>
        </w:r>
      </w:hyperlink>
      <w:r>
        <w:rPr>
          <w:rFonts w:ascii="Aptos" w:hAnsi="Aptos"/>
          <w:color w:val="5B6573"/>
          <w:sz w:val="17"/>
        </w:rPr>
        <w:t xml:space="preserve"> — Preparación inicial, carrera, distribución territorial, retiro generacional y alineación con expectativas de aula.</w:t>
      </w:r>
    </w:p>
    <w:p>
      <w:pPr>
        <w:spacing w:after="60"/>
        <w:ind w:left="259" w:hanging="259"/>
      </w:pPr>
      <w:r>
        <w:rPr>
          <w:rFonts w:ascii="Aptos" w:hAnsi="Aptos"/>
          <w:b/>
          <w:color w:val="17365D"/>
          <w:sz w:val="18"/>
        </w:rPr>
        <w:t xml:space="preserve">[20] </w:t>
      </w:r>
      <w:hyperlink r:id="rId29">
        <w:r>
          <w:rPr>
            <w:rFonts w:ascii="Aptos" w:hAnsi="Aptos"/>
            <w:color w:val="2F75B5"/>
            <w:sz w:val="18"/>
            <w:u w:val="single"/>
          </w:rPr>
          <w:t>MINEDU Perú, evaluación de la estrategia formativa 360 para educación técnica</w:t>
        </w:r>
      </w:hyperlink>
      <w:r>
        <w:rPr>
          <w:rFonts w:ascii="Aptos" w:hAnsi="Aptos"/>
          <w:color w:val="5B6573"/>
          <w:sz w:val="17"/>
        </w:rPr>
        <w:t xml:space="preserve"> — Conectividad, equipos, plataformas, capacidades técnicas, materiales y acompañamiento en CETPRO/IES.</w:t>
      </w:r>
    </w:p>
    <w:p>
      <w:pPr>
        <w:spacing w:after="60"/>
        <w:ind w:left="259" w:hanging="259"/>
      </w:pPr>
      <w:r>
        <w:rPr>
          <w:rFonts w:ascii="Aptos" w:hAnsi="Aptos"/>
          <w:b/>
          <w:color w:val="17365D"/>
          <w:sz w:val="18"/>
        </w:rPr>
        <w:t xml:space="preserve">[21] </w:t>
      </w:r>
      <w:hyperlink r:id="rId30">
        <w:r>
          <w:rPr>
            <w:rFonts w:ascii="Aptos" w:hAnsi="Aptos"/>
            <w:color w:val="2F75B5"/>
            <w:sz w:val="18"/>
            <w:u w:val="single"/>
          </w:rPr>
          <w:t>Cassaretto et al., salud, compromiso y burnout en una universidad peruana</w:t>
        </w:r>
      </w:hyperlink>
      <w:r>
        <w:rPr>
          <w:rFonts w:ascii="Aptos" w:hAnsi="Aptos"/>
          <w:color w:val="5B6573"/>
          <w:sz w:val="17"/>
        </w:rPr>
        <w:t xml:space="preserve"> — Muestra de 512 trabajadores, incluidos 226 docentes; sueño, vigor, agotamiento y eficacia predicen salud.</w:t>
      </w:r>
    </w:p>
    <w:p>
      <w:pPr>
        <w:spacing w:after="60"/>
        <w:ind w:left="259" w:hanging="259"/>
      </w:pPr>
      <w:r>
        <w:rPr>
          <w:rFonts w:ascii="Aptos" w:hAnsi="Aptos"/>
          <w:b/>
          <w:color w:val="17365D"/>
          <w:sz w:val="18"/>
        </w:rPr>
        <w:t xml:space="preserve">[22] </w:t>
      </w:r>
      <w:hyperlink r:id="rId31">
        <w:r>
          <w:rPr>
            <w:rFonts w:ascii="Aptos" w:hAnsi="Aptos"/>
            <w:color w:val="2F75B5"/>
            <w:sz w:val="18"/>
            <w:u w:val="single"/>
          </w:rPr>
          <w:t>Banco Mundial, educación digital en América Latina y el Caribe</w:t>
        </w:r>
      </w:hyperlink>
      <w:r>
        <w:rPr>
          <w:rFonts w:ascii="Aptos" w:hAnsi="Aptos"/>
          <w:color w:val="5B6573"/>
          <w:sz w:val="17"/>
        </w:rPr>
        <w:t xml:space="preserve"> — Solo 66% del alumnado regional asistía a escuelas con plataformas eficaces y 3 de cada 10 a escuelas con incentivos docentes para integrar tecnología.</w:t>
      </w:r>
    </w:p>
    <w:p>
      <w:pPr>
        <w:spacing w:after="60"/>
        <w:ind w:left="259" w:hanging="259"/>
      </w:pPr>
      <w:r>
        <w:rPr>
          <w:rFonts w:ascii="Aptos" w:hAnsi="Aptos"/>
          <w:b/>
          <w:color w:val="17365D"/>
          <w:sz w:val="18"/>
        </w:rPr>
        <w:t xml:space="preserve">[23] </w:t>
      </w:r>
      <w:hyperlink r:id="rId32">
        <w:r>
          <w:rPr>
            <w:rFonts w:ascii="Aptos" w:hAnsi="Aptos"/>
            <w:color w:val="2F75B5"/>
            <w:sz w:val="18"/>
            <w:u w:val="single"/>
          </w:rPr>
          <w:t>UNESCO IESALC, adopción y gobernanza de IA en educación superior de ALC</w:t>
        </w:r>
      </w:hyperlink>
      <w:r>
        <w:rPr>
          <w:rFonts w:ascii="Aptos" w:hAnsi="Aptos"/>
          <w:color w:val="5B6573"/>
          <w:sz w:val="17"/>
        </w:rPr>
        <w:t xml:space="preserve"> — Encuesta a 200 IES de 19 países sobre preparación institucional, gobernanza y uso de IA.</w:t>
      </w:r>
    </w:p>
    <w:p>
      <w:pPr>
        <w:spacing w:after="60"/>
        <w:ind w:left="259" w:hanging="259"/>
      </w:pPr>
      <w:r>
        <w:rPr>
          <w:rFonts w:ascii="Aptos" w:hAnsi="Aptos"/>
          <w:b/>
          <w:color w:val="17365D"/>
          <w:sz w:val="18"/>
        </w:rPr>
        <w:t xml:space="preserve">[24] </w:t>
      </w:r>
      <w:hyperlink r:id="rId33">
        <w:r>
          <w:rPr>
            <w:rFonts w:ascii="Aptos" w:hAnsi="Aptos"/>
            <w:color w:val="2F75B5"/>
            <w:sz w:val="18"/>
            <w:u w:val="single"/>
          </w:rPr>
          <w:t>OIT, trabajo decente en educación de la primera infancia</w:t>
        </w:r>
      </w:hyperlink>
      <w:r>
        <w:rPr>
          <w:rFonts w:ascii="Aptos" w:hAnsi="Aptos"/>
          <w:color w:val="5B6573"/>
          <w:sz w:val="17"/>
        </w:rPr>
        <w:t xml:space="preserve"> — Condiciones de empleo, formación, seguridad social, financiación y gobernanza para el personal de primera infancia.</w:t>
      </w:r>
    </w:p>
    <w:sectPr w:rsidR="00FC693F" w:rsidRPr="0006063C" w:rsidSect="00034616">
      <w:headerReference w:type="default" r:id="rId9"/>
      <w:footerReference w:type="default" r:id="rId10"/>
      <w:pgSz w:w="15840" w:h="12240" w:orient="landscape"/>
      <w:pgMar w:top="864" w:right="792" w:bottom="835" w:left="79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MAPEO DOCENTE | COLOMBIA · MÉXICO · CHILE · PERÚ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ecd.org/en/publications/results-from-talis-2024-country-notes_e127f9e2-en/colombia_8f1df220-en.html" TargetMode="External"/><Relationship Id="rId12" Type="http://schemas.openxmlformats.org/officeDocument/2006/relationships/hyperlink" Target="https://www.mineducacion.gov.co/1759/articles-404773_Recurso_01.pdf" TargetMode="External"/><Relationship Id="rId13" Type="http://schemas.openxmlformats.org/officeDocument/2006/relationships/hyperlink" Target="https://educacionrindecuentas.mineducacion.gov.co/pilar-1-educacion-de-calidad/politica-integral-de-educacion-rural/" TargetMode="External"/><Relationship Id="rId14" Type="http://schemas.openxmlformats.org/officeDocument/2006/relationships/hyperlink" Target="https://www.unicef.org/colombia/documents/ruta-educacion-inclusiva" TargetMode="External"/><Relationship Id="rId15" Type="http://schemas.openxmlformats.org/officeDocument/2006/relationships/hyperlink" Target="https://www.scielo.org.co/scielo.php?lng=en&amp;nrm=iso&amp;pid=S0123-91552019000200267&amp;script=sci_arttext&amp;tlng=es" TargetMode="External"/><Relationship Id="rId16" Type="http://schemas.openxmlformats.org/officeDocument/2006/relationships/hyperlink" Target="https://educacionbasica.sep.gob.mx/taller-intensivo-de-formacion-continua-para-directivos-y-docentes/" TargetMode="External"/><Relationship Id="rId17" Type="http://schemas.openxmlformats.org/officeDocument/2006/relationships/hyperlink" Target="https://formacioncontinua.sep.gob.mx/storage/recursos/ESTR_ESTAT_MAP_23/3VSeQD3NLj-SLP_ESTRATEGIA%20ESTATAL%202024%20FINAL.pdf" TargetMode="External"/><Relationship Id="rId18" Type="http://schemas.openxmlformats.org/officeDocument/2006/relationships/hyperlink" Target="https://www.inee.edu.mx/wp-content/uploads/2019/05/DirectricesParaMejorarlaEducacionMultigrado_D.pdf" TargetMode="External"/><Relationship Id="rId19" Type="http://schemas.openxmlformats.org/officeDocument/2006/relationships/hyperlink" Target="https://www.coneval.org.mx/EvaluacionDS/PP/CEIPP/Documents/Informes/IEPDS_2024.pdf" TargetMode="External"/><Relationship Id="rId20" Type="http://schemas.openxmlformats.org/officeDocument/2006/relationships/hyperlink" Target="https://www.scielo.org.mx/scielo.php?lng=en&amp;nrm=iso&amp;pid=S2448-878X2025000100277&amp;script=sci_arttext" TargetMode="External"/><Relationship Id="rId21" Type="http://schemas.openxmlformats.org/officeDocument/2006/relationships/hyperlink" Target="https://bibliotecadigital.mineduc.cl/bitstream/handle/20.500.12365/22141/Informe%20FInal%20ENDE%202025.pdf?isAllowed=y&amp;sequence=4" TargetMode="External"/><Relationship Id="rId22" Type="http://schemas.openxmlformats.org/officeDocument/2006/relationships/hyperlink" Target="https://www.oecd.org/en/publications/results-from-talis-2024-country-notes_e127f9e2-en/chile_e31949b6-en.html" TargetMode="External"/><Relationship Id="rId23" Type="http://schemas.openxmlformats.org/officeDocument/2006/relationships/hyperlink" Target="https://plannacionaldocente.mineduc.cl/custom/pdf/Plan_Nacional_Docente.pdf" TargetMode="External"/><Relationship Id="rId24" Type="http://schemas.openxmlformats.org/officeDocument/2006/relationships/hyperlink" Target="https://bibliotecadigital.mineduc.cl/handle/20.500.12365/18952" TargetMode="External"/><Relationship Id="rId25" Type="http://schemas.openxmlformats.org/officeDocument/2006/relationships/hyperlink" Target="https://www.scielo.cl/scielo.php?pid=S0719-40132025000100162&amp;script=sci_arttext" TargetMode="External"/><Relationship Id="rId26" Type="http://schemas.openxmlformats.org/officeDocument/2006/relationships/hyperlink" Target="https://repositorio.minedu.gob.pe/bitstream/handle/20.500.12799/11725/Reporte%20Nacional%20de%20Seguimiento%20al%20Proyecto%20Educativo%20Nacional.%20An%C3%A1lisis%20de%20Indicadores%20al%202024.pdf?isAllowed=y&amp;sequence=1" TargetMode="External"/><Relationship Id="rId27" Type="http://schemas.openxmlformats.org/officeDocument/2006/relationships/hyperlink" Target="https://www.ilo.org/es/publications/principales-riesgos-ocupacionales-y-sus-implicancias-en-la-salud-del" TargetMode="External"/><Relationship Id="rId28" Type="http://schemas.openxmlformats.org/officeDocument/2006/relationships/hyperlink" Target="https://www.oecd.org/en/publications/2026/02/education-and-skills-in-peru_ed96bd36/full-report/education-and-skills-in-peru-advancing-inclusive-development_32fb721f.html" TargetMode="External"/><Relationship Id="rId29" Type="http://schemas.openxmlformats.org/officeDocument/2006/relationships/hyperlink" Target="https://repositorio.minedu.gob.pe/bitstream/handle/20.500.12799/8850/Evaluaci%C3%B3n%20de%20desempe%C3%B1o%20de%20la%20estrategia%20formativa%20360%20lecciones%20aprendidas%20de%20una%20estrategia%20de%20atenci%C3%B3n%20a%20la%20educaci%C3%B3n%20t%C3%A9cnica%20en%20el%20contexto%20de%20la%20Covid-19.pdf?sequence=1" TargetMode="External"/><Relationship Id="rId30" Type="http://schemas.openxmlformats.org/officeDocument/2006/relationships/hyperlink" Target="https://www.scielo.org.pe/scielo.php?pid=S0254-92472024000100141&amp;script=sci_arttext" TargetMode="External"/><Relationship Id="rId31" Type="http://schemas.openxmlformats.org/officeDocument/2006/relationships/hyperlink" Target="https://www.worldbank.org/en/programs/educacion-america-latina-caribe/digital-education" TargetMode="External"/><Relationship Id="rId32" Type="http://schemas.openxmlformats.org/officeDocument/2006/relationships/hyperlink" Target="https://ess.iesalc.unesco.org/index.php/ess3/article/view/v37i2-dt-14" TargetMode="External"/><Relationship Id="rId33" Type="http://schemas.openxmlformats.org/officeDocument/2006/relationships/hyperlink" Target="https://www.ilo.org/es/resource/otro/directrices-de-pol%C3%ADtica-de-la-oit-sobre-la-promoci%C3%B3n-del-trabajo-dece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Necesidades, dolores y frustraciones de los docentes en Colombia, México, Chile y Perú</dc:title>
  <dc:subject>Investigación comparada por nivel educativo</dc:subject>
  <dc:creator>OpenAI - Codex</dc:creator>
  <cp:keywords>docentes, necesidades, dolores, frustraciones, Colombia, México, Chile, Perú</cp:keywords>
  <dc:description>generated by python-docx</dc:description>
  <cp:lastModifiedBy/>
  <cp:revision>1</cp:revision>
  <dcterms:created xsi:type="dcterms:W3CDTF">2013-12-23T23:15:00Z</dcterms:created>
  <dcterms:modified xsi:type="dcterms:W3CDTF">2013-12-23T23:15:00Z</dcterms:modified>
  <cp:category/>
</cp:coreProperties>
</file>