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Los 5 errores de una sesión de aprendizaje</w:t>
      </w:r>
    </w:p>
    <w:p>
      <w:pPr>
        <w:jc w:val="center"/>
      </w:pPr>
      <w:r>
        <w:rPr>
          <w:rFonts w:ascii="Inter" w:hAnsi="Inter"/>
          <w:color w:val="5A5A5A"/>
          <w:sz w:val="24"/>
        </w:rPr>
        <w:t>Lead magnet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Los 5 errores de una sesión de aprendizaje que se detectan de inmediato</w:t>
      </w:r>
    </w:p>
    <w:p>
      <w:pPr>
        <w:spacing w:before="160"/>
      </w:pPr>
      <w:r>
        <w:rPr>
          <w:rFonts w:ascii="Inter" w:hAnsi="Inter"/>
          <w:b/>
          <w:color w:val="1A365D"/>
          <w:sz w:val="22"/>
        </w:rPr>
        <w:t>(y cómo evitarlos recorriendo bien la cadena del CNEB)</w:t>
      </w:r>
    </w:p>
    <w:p>
      <w:r>
        <w:rPr>
          <w:rFonts w:ascii="Inter" w:hAnsi="Inter"/>
          <w:color w:val="222222"/>
          <w:sz w:val="21"/>
        </w:rPr>
        <w:t xml:space="preserve">Profe: ninguno de estos errores es de formato. Los cinco son de </w:t>
      </w:r>
      <w:r>
        <w:rPr>
          <w:rFonts w:ascii="Inter" w:hAnsi="Inter"/>
          <w:b/>
          <w:color w:val="222222"/>
          <w:sz w:val="21"/>
        </w:rPr>
        <w:t>fundamento</w:t>
      </w:r>
      <w:r>
        <w:rPr>
          <w:rFonts w:ascii="Inter" w:hAnsi="Inter"/>
          <w:color w:val="222222"/>
          <w:sz w:val="21"/>
        </w:rPr>
        <w:t xml:space="preserve"> — y por eso se</w:t>
      </w:r>
    </w:p>
    <w:p>
      <w:r>
        <w:rPr>
          <w:rFonts w:ascii="Inter" w:hAnsi="Inter"/>
          <w:color w:val="222222"/>
          <w:sz w:val="21"/>
        </w:rPr>
        <w:t>notan a la primera lectura, use tu IE la plantilla que use. La buena noticia: los cinco se</w:t>
      </w:r>
    </w:p>
    <w:p>
      <w:r>
        <w:rPr>
          <w:rFonts w:ascii="Inter" w:hAnsi="Inter"/>
          <w:color w:val="222222"/>
          <w:sz w:val="21"/>
        </w:rPr>
        <w:t>arreglan en el mismo lugar.</w:t>
      </w:r>
    </w:p>
    <w:p>
      <w:r>
        <w:rPr>
          <w:rFonts w:ascii="Inter" w:hAnsi="Inter"/>
          <w:b/>
          <w:color w:val="222222"/>
          <w:sz w:val="21"/>
        </w:rPr>
        <w:t>Error 1 · El desempeño inventado (o "de memoria").</w:t>
      </w:r>
    </w:p>
    <w:p>
      <w:r>
        <w:rPr>
          <w:rFonts w:ascii="Inter" w:hAnsi="Inter"/>
          <w:color w:val="222222"/>
          <w:sz w:val="21"/>
        </w:rPr>
        <w:t>La sesión declara un desempeño que no existe así en el Programa Curricular: mezclado de dos</w:t>
      </w:r>
    </w:p>
    <w:p>
      <w:r>
        <w:rPr>
          <w:rFonts w:ascii="Inter" w:hAnsi="Inter"/>
          <w:color w:val="222222"/>
          <w:sz w:val="21"/>
        </w:rPr>
        <w:t>grados, parafraseado hasta perder el sentido, o directamente redactado por la costumbre.</w:t>
      </w:r>
    </w:p>
    <w:p>
      <w:r>
        <w:rPr>
          <w:rFonts w:ascii="Inter" w:hAnsi="Inter"/>
          <w:i/>
          <w:color w:val="222222"/>
          <w:sz w:val="21"/>
        </w:rPr>
        <w:t>Cómo se ve:</w:t>
      </w:r>
      <w:r>
        <w:rPr>
          <w:rFonts w:ascii="Inter" w:hAnsi="Inter"/>
          <w:color w:val="222222"/>
          <w:sz w:val="21"/>
        </w:rPr>
        <w:t xml:space="preserve"> un desempeño sin grado ni referencia. </w:t>
      </w:r>
      <w:r>
        <w:rPr>
          <w:rFonts w:ascii="Inter" w:hAnsi="Inter"/>
          <w:i/>
          <w:color w:val="222222"/>
          <w:sz w:val="21"/>
        </w:rPr>
        <w:t>El arreglo:</w:t>
      </w:r>
      <w:r>
        <w:rPr>
          <w:rFonts w:ascii="Inter" w:hAnsi="Inter"/>
          <w:color w:val="222222"/>
          <w:sz w:val="21"/>
        </w:rPr>
        <w:t xml:space="preserve"> cita siempre el desempeño de</w:t>
      </w:r>
    </w:p>
    <w:p>
      <w:r>
        <w:rPr>
          <w:rFonts w:ascii="Inter" w:hAnsi="Inter"/>
          <w:color w:val="222222"/>
          <w:sz w:val="21"/>
        </w:rPr>
        <w:t>TU grado desde el documento oficial (gratuito en minedu.gob.pe) — o desde un banco verificado</w:t>
      </w:r>
    </w:p>
    <w:p>
      <w:r>
        <w:rPr>
          <w:rFonts w:ascii="Inter" w:hAnsi="Inter"/>
          <w:color w:val="222222"/>
          <w:sz w:val="21"/>
        </w:rPr>
        <w:t>que te ahorre la búsqueda.</w:t>
      </w:r>
    </w:p>
    <w:p>
      <w:r>
        <w:rPr>
          <w:rFonts w:ascii="Inter" w:hAnsi="Inter"/>
          <w:b/>
          <w:color w:val="222222"/>
          <w:sz w:val="21"/>
        </w:rPr>
        <w:t>Error 2 · Confundir el estándar del ciclo con el desempeño del grado.</w:t>
      </w:r>
    </w:p>
    <w:p>
      <w:r>
        <w:rPr>
          <w:rFonts w:ascii="Inter" w:hAnsi="Inter"/>
          <w:color w:val="222222"/>
          <w:sz w:val="21"/>
        </w:rPr>
        <w:t>El estándar (por ciclo, en el CNEB) es el punto de llegada; el desempeño (por grado, en el</w:t>
      </w:r>
    </w:p>
    <w:p>
      <w:r>
        <w:rPr>
          <w:rFonts w:ascii="Inter" w:hAnsi="Inter"/>
          <w:color w:val="222222"/>
          <w:sz w:val="21"/>
        </w:rPr>
        <w:t>Programa Curricular) es el paso observable. Cuando la sesión "evalúa el estándar" en una clase</w:t>
      </w:r>
    </w:p>
    <w:p>
      <w:r>
        <w:rPr>
          <w:rFonts w:ascii="Inter" w:hAnsi="Inter"/>
          <w:color w:val="222222"/>
          <w:sz w:val="21"/>
        </w:rPr>
        <w:t xml:space="preserve">de martes, la evaluación se vuelve imposible y frustrante. </w:t>
      </w:r>
      <w:r>
        <w:rPr>
          <w:rFonts w:ascii="Inter" w:hAnsi="Inter"/>
          <w:i/>
          <w:color w:val="222222"/>
          <w:sz w:val="21"/>
        </w:rPr>
        <w:t>El arreglo:</w:t>
      </w:r>
      <w:r>
        <w:rPr>
          <w:rFonts w:ascii="Inter" w:hAnsi="Inter"/>
          <w:color w:val="222222"/>
          <w:sz w:val="21"/>
        </w:rPr>
        <w:t xml:space="preserve"> estándar como</w:t>
      </w:r>
    </w:p>
    <w:p>
      <w:r>
        <w:rPr>
          <w:rFonts w:ascii="Inter" w:hAnsi="Inter"/>
          <w:color w:val="222222"/>
          <w:sz w:val="21"/>
        </w:rPr>
        <w:t>horizonte, desempeños como criterios del día a día.</w:t>
      </w:r>
    </w:p>
    <w:p>
      <w:r>
        <w:rPr>
          <w:rFonts w:ascii="Inter" w:hAnsi="Inter"/>
          <w:b/>
          <w:color w:val="222222"/>
          <w:sz w:val="21"/>
        </w:rPr>
        <w:t>Error 3 · Desempeños por orden de aparición.</w:t>
      </w:r>
    </w:p>
    <w:p>
      <w:r>
        <w:rPr>
          <w:rFonts w:ascii="Inter" w:hAnsi="Inter"/>
          <w:color w:val="222222"/>
          <w:sz w:val="21"/>
        </w:rPr>
        <w:t>Trabajar los desempeños en el orden en que aparecen en el documento, sin leer al grupo. El CNEB</w:t>
      </w:r>
    </w:p>
    <w:p>
      <w:r>
        <w:rPr>
          <w:rFonts w:ascii="Inter" w:hAnsi="Inter"/>
          <w:color w:val="222222"/>
          <w:sz w:val="21"/>
        </w:rPr>
        <w:t xml:space="preserve">es explícito en que es un currículo flexible que se adapta a la diversidad. </w:t>
      </w:r>
      <w:r>
        <w:rPr>
          <w:rFonts w:ascii="Inter" w:hAnsi="Inter"/>
          <w:i/>
          <w:color w:val="222222"/>
          <w:sz w:val="21"/>
        </w:rPr>
        <w:t>Cómo se ve:</w:t>
      </w:r>
    </w:p>
    <w:p>
      <w:r>
        <w:rPr>
          <w:rFonts w:ascii="Inter" w:hAnsi="Inter"/>
          <w:color w:val="222222"/>
          <w:sz w:val="21"/>
        </w:rPr>
        <w:t xml:space="preserve">la planificación de marzo idéntica en cualquier aula del Perú. </w:t>
      </w:r>
      <w:r>
        <w:rPr>
          <w:rFonts w:ascii="Inter" w:hAnsi="Inter"/>
          <w:i/>
          <w:color w:val="222222"/>
          <w:sz w:val="21"/>
        </w:rPr>
        <w:t>El arreglo:</w:t>
      </w:r>
      <w:r>
        <w:rPr>
          <w:rFonts w:ascii="Inter" w:hAnsi="Inter"/>
          <w:color w:val="222222"/>
          <w:sz w:val="21"/>
        </w:rPr>
        <w:t xml:space="preserve"> pregunta primero</w:t>
      </w:r>
    </w:p>
    <w:p>
      <w:r>
        <w:rPr>
          <w:rFonts w:ascii="Inter" w:hAnsi="Inter"/>
          <w:color w:val="222222"/>
          <w:sz w:val="21"/>
        </w:rPr>
        <w:t>dónde está tu grupo respecto del estándar; elige los desempeños que ese diagnóstico pide.</w:t>
      </w:r>
    </w:p>
    <w:p>
      <w:r>
        <w:rPr>
          <w:rFonts w:ascii="Inter" w:hAnsi="Inter"/>
          <w:b/>
          <w:color w:val="222222"/>
          <w:sz w:val="21"/>
        </w:rPr>
        <w:t>Error 4 · La sesión huérfana.</w:t>
      </w:r>
    </w:p>
    <w:p>
      <w:r>
        <w:rPr>
          <w:rFonts w:ascii="Inter" w:hAnsi="Inter"/>
          <w:color w:val="222222"/>
          <w:sz w:val="21"/>
        </w:rPr>
        <w:t>La sesión no se conecta con ninguna unidad: propósito distinto, evidencia distinta, competencia</w:t>
      </w:r>
    </w:p>
    <w:p>
      <w:r>
        <w:rPr>
          <w:rFonts w:ascii="Inter" w:hAnsi="Inter"/>
          <w:color w:val="222222"/>
          <w:sz w:val="21"/>
        </w:rPr>
        <w:t xml:space="preserve">distinta. Triple digitación = incoherencia garantizada. </w:t>
      </w:r>
      <w:r>
        <w:rPr>
          <w:rFonts w:ascii="Inter" w:hAnsi="Inter"/>
          <w:i/>
          <w:color w:val="222222"/>
          <w:sz w:val="21"/>
        </w:rPr>
        <w:t>Cómo se ve:</w:t>
      </w:r>
      <w:r>
        <w:rPr>
          <w:rFonts w:ascii="Inter" w:hAnsi="Inter"/>
          <w:color w:val="222222"/>
          <w:sz w:val="21"/>
        </w:rPr>
        <w:t xml:space="preserve"> la unidad dice una</w:t>
      </w:r>
    </w:p>
    <w:p>
      <w:r>
        <w:rPr>
          <w:rFonts w:ascii="Inter" w:hAnsi="Inter"/>
          <w:color w:val="222222"/>
          <w:sz w:val="21"/>
        </w:rPr>
        <w:t xml:space="preserve">competencia y la sesión evalúa otra. </w:t>
      </w:r>
      <w:r>
        <w:rPr>
          <w:rFonts w:ascii="Inter" w:hAnsi="Inter"/>
          <w:i/>
          <w:color w:val="222222"/>
          <w:sz w:val="21"/>
        </w:rPr>
        <w:t>El arreglo:</w:t>
      </w:r>
      <w:r>
        <w:rPr>
          <w:rFonts w:ascii="Inter" w:hAnsi="Inter"/>
          <w:color w:val="222222"/>
          <w:sz w:val="21"/>
        </w:rPr>
        <w:t xml:space="preserve"> un solo planeador maestro del que unidad,</w:t>
      </w:r>
    </w:p>
    <w:p>
      <w:r>
        <w:rPr>
          <w:rFonts w:ascii="Inter" w:hAnsi="Inter"/>
          <w:color w:val="222222"/>
          <w:sz w:val="21"/>
        </w:rPr>
        <w:t>sesión y experiencia se derivan (es exactamente el método del Kit PlanifiKIA Perú).</w:t>
      </w:r>
    </w:p>
    <w:p>
      <w:r>
        <w:rPr>
          <w:rFonts w:ascii="Inter" w:hAnsi="Inter"/>
          <w:b/>
          <w:color w:val="222222"/>
          <w:sz w:val="21"/>
        </w:rPr>
        <w:t>Error 5 · Evaluación sumativa disfrazada de formativa.</w:t>
      </w:r>
    </w:p>
    <w:p>
      <w:r>
        <w:rPr>
          <w:rFonts w:ascii="Inter" w:hAnsi="Inter"/>
          <w:color w:val="222222"/>
          <w:sz w:val="21"/>
        </w:rPr>
        <w:t>Dice "evaluación formativa" pero no hay criterios previos, ni evidencia planificada, ni momento</w:t>
      </w:r>
    </w:p>
    <w:p>
      <w:r>
        <w:rPr>
          <w:rFonts w:ascii="Inter" w:hAnsi="Inter"/>
          <w:color w:val="222222"/>
          <w:sz w:val="21"/>
        </w:rPr>
        <w:t>de retroalimentación — solo una nota al final. La Sección VII del CNEB define la evaluación</w:t>
      </w:r>
    </w:p>
    <w:p>
      <w:r>
        <w:rPr>
          <w:rFonts w:ascii="Inter" w:hAnsi="Inter"/>
          <w:color w:val="222222"/>
          <w:sz w:val="21"/>
        </w:rPr>
        <w:t>formativa como proceso continuo para mejorar el aprendizaje, no para calificar al cierre.</w:t>
      </w:r>
    </w:p>
    <w:p>
      <w:r>
        <w:rPr>
          <w:rFonts w:ascii="Inter" w:hAnsi="Inter"/>
          <w:i/>
          <w:color w:val="222222"/>
          <w:sz w:val="21"/>
        </w:rPr>
        <w:t>El arreglo:</w:t>
      </w:r>
      <w:r>
        <w:rPr>
          <w:rFonts w:ascii="Inter" w:hAnsi="Inter"/>
          <w:color w:val="222222"/>
          <w:sz w:val="21"/>
        </w:rPr>
        <w:t xml:space="preserve"> tres preguntas antes de cada sesión — ¿qué criterio conoce el estudiante? ¿qué</w:t>
      </w:r>
    </w:p>
    <w:p>
      <w:r>
        <w:rPr>
          <w:rFonts w:ascii="Inter" w:hAnsi="Inter"/>
          <w:color w:val="222222"/>
          <w:sz w:val="21"/>
        </w:rPr>
        <w:t>evidencia recojo? ¿cuándo devuelvo?</w:t>
      </w:r>
    </w:p>
    <w:p/>
    <w:p>
      <w:pPr>
        <w:spacing w:before="160"/>
      </w:pPr>
      <w:r>
        <w:rPr>
          <w:rFonts w:ascii="Inter" w:hAnsi="Inter"/>
          <w:b/>
          <w:color w:val="1A365D"/>
          <w:sz w:val="22"/>
        </w:rPr>
        <w:t>¿Quieres recorrer la cadena completa una sola vez — y derivar de ahí unidad, sesión y experiencia?</w:t>
      </w:r>
    </w:p>
    <w:p>
      <w:r>
        <w:rPr>
          <w:rFonts w:ascii="Inter" w:hAnsi="Inter"/>
          <w:color w:val="222222"/>
          <w:sz w:val="21"/>
        </w:rPr>
        <w:t xml:space="preserve">El </w:t>
      </w:r>
      <w:r>
        <w:rPr>
          <w:rFonts w:ascii="Inter" w:hAnsi="Inter"/>
          <w:b/>
          <w:color w:val="222222"/>
          <w:sz w:val="21"/>
        </w:rPr>
        <w:t>Kit PlanifiKIA Perú (CNEB)</w:t>
      </w:r>
      <w:r>
        <w:rPr>
          <w:rFonts w:ascii="Inter" w:hAnsi="Inter"/>
          <w:color w:val="222222"/>
          <w:sz w:val="21"/>
        </w:rPr>
        <w:t xml:space="preserve"> trae el planeador maestro, el banco de desempeños de primaria</w:t>
      </w:r>
    </w:p>
    <w:p>
      <w:r>
        <w:rPr>
          <w:rFonts w:ascii="Inter" w:hAnsi="Inter"/>
          <w:color w:val="222222"/>
          <w:sz w:val="21"/>
        </w:rPr>
        <w:t>organizado por área, grado y competencia (cada entrada con su referencia exacta al documento</w:t>
      </w:r>
    </w:p>
    <w:p>
      <w:r>
        <w:rPr>
          <w:rFonts w:ascii="Inter" w:hAnsi="Inter"/>
          <w:color w:val="222222"/>
          <w:sz w:val="21"/>
        </w:rPr>
        <w:t>oficial), las tres plantillas de salida, rúbricas de evaluación formativa y un mini-curso para</w:t>
      </w:r>
    </w:p>
    <w:p>
      <w:r>
        <w:rPr>
          <w:rFonts w:ascii="Inter" w:hAnsi="Inter"/>
          <w:color w:val="222222"/>
          <w:sz w:val="21"/>
        </w:rPr>
        <w:t>usarlo con IA sin que la IA te invente el currículo.</w:t>
      </w:r>
    </w:p>
    <w:p>
      <w:r>
        <w:rPr>
          <w:rFonts w:ascii="Inter" w:hAnsi="Inter"/>
          <w:b/>
          <w:color w:val="222222"/>
          <w:sz w:val="21"/>
        </w:rPr>
        <w:t>[→ CTA: enlace del Canal — pendiente de URL definitiva]</w:t>
      </w:r>
    </w:p>
    <w:p/>
    <w:p>
      <w:r>
        <w:rPr>
          <w:rFonts w:ascii="Inter" w:hAnsi="Inter"/>
          <w:color w:val="222222"/>
          <w:sz w:val="21"/>
        </w:rPr>
        <w:t>*Atenea Grupo Educativo. Contenido pedagógico propio, verificado contra los documentos oficiales</w:t>
      </w:r>
    </w:p>
    <w:p>
      <w:r>
        <w:rPr>
          <w:rFonts w:ascii="Inter" w:hAnsi="Inter"/>
          <w:color w:val="222222"/>
          <w:sz w:val="21"/>
        </w:rPr>
        <w:t>públicos del MINEDU (CNEB y Programa Curricular de Educación Primaria, disponibles gratuitamente</w:t>
      </w:r>
    </w:p>
    <w:p>
      <w:r>
        <w:rPr>
          <w:rFonts w:ascii="Inter" w:hAnsi="Inter"/>
          <w:color w:val="222222"/>
          <w:sz w:val="21"/>
        </w:rPr>
        <w:t>en minedu.gob.pe). Este material no es una publicación del MINEDU ni cuenta con su aval.*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