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tipo_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rriweather" w:hAnsi="Merriweather"/>
          <w:b/>
          <w:color w:val="D4AF37"/>
          <w:sz w:val="26"/>
        </w:rPr>
        <w:t>Kit PlanifiKIA Perú</w:t>
      </w:r>
    </w:p>
    <w:p>
      <w:pPr>
        <w:jc w:val="center"/>
      </w:pPr>
      <w:r>
        <w:rPr>
          <w:rFonts w:ascii="Merriweather" w:hAnsi="Merriweather"/>
          <w:b/>
          <w:color w:val="1A365D"/>
          <w:sz w:val="44"/>
        </w:rPr>
        <w:t>Rúbricas base por área</w:t>
      </w:r>
    </w:p>
    <w:p>
      <w:pPr>
        <w:jc w:val="center"/>
      </w:pPr>
      <w:r>
        <w:rPr>
          <w:rFonts w:ascii="Inter" w:hAnsi="Inter"/>
          <w:color w:val="5A5A5A"/>
          <w:sz w:val="24"/>
        </w:rPr>
        <w:t>Evaluación formativa CNEB</w:t>
      </w:r>
    </w:p>
    <w:p/>
    <w:p/>
    <w:p>
      <w:pPr>
        <w:jc w:val="center"/>
      </w:pPr>
      <w:r>
        <w:rPr>
          <w:i/>
          <w:color w:val="5A5A5A"/>
          <w:sz w:val="18"/>
        </w:rPr>
        <w:t>Atenea Grupo Educativo  ·  Currículo Nacional de la Educación Básica</w:t>
      </w:r>
    </w:p>
    <w:p>
      <w:r>
        <w:br w:type="page"/>
      </w:r>
    </w:p>
    <w:p>
      <w:pPr>
        <w:spacing w:before="280" w:after="160"/>
        <w:pBdr>
          <w:bottom w:val="single" w:sz="6" w:space="4" w:color="D4AF37"/>
        </w:pBdr>
      </w:pPr>
      <w:r>
        <w:rPr>
          <w:rFonts w:ascii="Merriweather" w:hAnsi="Merriweather"/>
          <w:b/>
          <w:color w:val="1A365D"/>
          <w:sz w:val="30"/>
        </w:rPr>
        <w:t>P4.1 · Rúbricas base por área (evaluación formativa CNEB)</w:t>
      </w:r>
    </w:p>
    <w:p>
      <w:r>
        <w:rPr>
          <w:rFonts w:ascii="Inter" w:hAnsi="Inter"/>
          <w:b/>
          <w:color w:val="222222"/>
          <w:sz w:val="21"/>
        </w:rPr>
        <w:t>La regla de diseño (del dossier, F1+F4):</w:t>
      </w:r>
      <w:r>
        <w:rPr>
          <w:rFonts w:ascii="Inter" w:hAnsi="Inter"/>
          <w:color w:val="222222"/>
          <w:sz w:val="21"/>
        </w:rPr>
        <w:t xml:space="preserve"> el </w:t>
      </w:r>
      <w:r>
        <w:rPr>
          <w:rFonts w:ascii="Inter" w:hAnsi="Inter"/>
          <w:b/>
          <w:color w:val="222222"/>
          <w:sz w:val="21"/>
        </w:rPr>
        <w:t>estándar del ciclo es el techo</w:t>
      </w:r>
      <w:r>
        <w:rPr>
          <w:rFonts w:ascii="Inter" w:hAnsi="Inter"/>
          <w:color w:val="222222"/>
          <w:sz w:val="21"/>
        </w:rPr>
        <w:t xml:space="preserve"> y los</w:t>
      </w:r>
    </w:p>
    <w:p>
      <w:r>
        <w:rPr>
          <w:rFonts w:ascii="Inter" w:hAnsi="Inter"/>
          <w:b/>
          <w:color w:val="222222"/>
          <w:sz w:val="21"/>
        </w:rPr>
        <w:t>desempeños del grado son los peldaños</w:t>
      </w:r>
      <w:r>
        <w:rPr>
          <w:rFonts w:ascii="Inter" w:hAnsi="Inter"/>
          <w:color w:val="222222"/>
          <w:sz w:val="21"/>
        </w:rPr>
        <w:t>. Cada rúbrica toma una competencia, usa el estándar</w:t>
      </w:r>
    </w:p>
    <w:p>
      <w:r>
        <w:rPr>
          <w:rFonts w:ascii="Inter" w:hAnsi="Inter"/>
          <w:color w:val="222222"/>
          <w:sz w:val="21"/>
        </w:rPr>
        <w:t>del ciclo como descripción del nivel esperado y convierte los desempeños del grado en criterios</w:t>
      </w:r>
    </w:p>
    <w:p>
      <w:r>
        <w:rPr>
          <w:rFonts w:ascii="Inter" w:hAnsi="Inter"/>
          <w:color w:val="222222"/>
          <w:sz w:val="21"/>
        </w:rPr>
        <w:t xml:space="preserve">observables. La columna de calificación queda </w:t>
      </w:r>
      <w:r>
        <w:rPr>
          <w:rFonts w:ascii="Inter" w:hAnsi="Inter"/>
          <w:b/>
          <w:color w:val="222222"/>
          <w:sz w:val="21"/>
        </w:rPr>
        <w:t>en blanco</w:t>
      </w:r>
      <w:r>
        <w:rPr>
          <w:rFonts w:ascii="Inter" w:hAnsi="Inter"/>
          <w:color w:val="222222"/>
          <w:sz w:val="21"/>
        </w:rPr>
        <w:t>: la escala la define la práctica de</w:t>
      </w:r>
    </w:p>
    <w:p>
      <w:r>
        <w:rPr>
          <w:rFonts w:ascii="Inter" w:hAnsi="Inter"/>
          <w:color w:val="222222"/>
          <w:sz w:val="21"/>
        </w:rPr>
        <w:t>tu IE — esta rúbrica te da los criterios, no la nota.</w:t>
      </w:r>
    </w:p>
    <w:p>
      <w:r>
        <w:rPr>
          <w:rFonts w:ascii="Inter" w:hAnsi="Inter"/>
          <w:b/>
          <w:color w:val="222222"/>
          <w:sz w:val="21"/>
        </w:rPr>
        <w:t>Modalidad de citas (política del kit):</w:t>
      </w:r>
      <w:r>
        <w:rPr>
          <w:rFonts w:ascii="Inter" w:hAnsi="Inter"/>
          <w:color w:val="222222"/>
          <w:sz w:val="21"/>
        </w:rPr>
        <w:t xml:space="preserve"> los criterios parafrasean los desempeños oficiales;</w:t>
      </w:r>
    </w:p>
    <w:p>
      <w:r>
        <w:rPr>
          <w:rFonts w:ascii="Inter" w:hAnsi="Inter"/>
          <w:color w:val="222222"/>
          <w:sz w:val="21"/>
        </w:rPr>
        <w:t>cada fila lleva la referencia (área · grado · pág. del Programa Curricular). El texto normativo</w:t>
      </w:r>
    </w:p>
    <w:p>
      <w:r>
        <w:rPr>
          <w:rFonts w:ascii="Inter" w:hAnsi="Inter"/>
          <w:color w:val="222222"/>
          <w:sz w:val="21"/>
        </w:rPr>
        <w:t>oficial está gratis en minedu.gob.pe.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Estructura de cada rúbrica (igual en las 4 áreas)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Cabecera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Área · Competencia · Grado · Ciclo · Estándar del ciclo (referencia, no transcripción)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Filas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Un criterio por desempeño trabajado (paráfrasis + referencia)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Columnas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🌱 Inicio · 🌿 En proceso · 🌳 Logro del desempeño · ⭐ Más allá (hacia el estándar)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Columna final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Calificación: EN BLANCO (alinéala a la práctica de tu IE)</w:t>
            </w:r>
          </w:p>
        </w:tc>
      </w:tr>
    </w:tbl>
    <w:p/>
    <w:p>
      <w:r>
        <w:rPr>
          <w:rFonts w:ascii="Inter" w:hAnsi="Inter"/>
          <w:b/>
          <w:color w:val="222222"/>
          <w:sz w:val="21"/>
        </w:rPr>
        <w:t>Cómo se gradúa cada fila:</w:t>
      </w:r>
      <w:r>
        <w:rPr>
          <w:rFonts w:ascii="Inter" w:hAnsi="Inter"/>
          <w:color w:val="222222"/>
          <w:sz w:val="21"/>
        </w:rPr>
        <w:t xml:space="preserve"> 🌳 = la actuación tal como el desempeño la describe; 🌱/🌿 =</w:t>
      </w:r>
    </w:p>
    <w:p>
      <w:r>
        <w:rPr>
          <w:rFonts w:ascii="Inter" w:hAnsi="Inter"/>
          <w:color w:val="222222"/>
          <w:sz w:val="21"/>
        </w:rPr>
        <w:t>la misma actuación con andamiaje o parcial; ⭐ = la actuación aplicada a una situación nueva</w:t>
      </w:r>
    </w:p>
    <w:p>
      <w:r>
        <w:rPr>
          <w:rFonts w:ascii="Inter" w:hAnsi="Inter"/>
          <w:color w:val="222222"/>
          <w:sz w:val="21"/>
        </w:rPr>
        <w:t>sin apoyo (dirección del estándar). Nunca inventes en ⭐ contenido de grados superiores: es</w:t>
      </w:r>
    </w:p>
    <w:p>
      <w:r>
        <w:rPr>
          <w:rFonts w:ascii="Inter" w:hAnsi="Inter"/>
          <w:color w:val="222222"/>
          <w:sz w:val="21"/>
        </w:rPr>
        <w:t>profundidad, no adelanto.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Ejemplo resuelto · Matemática 3.er grado · "Resuelve problemas de cantidad" (ciclo IV)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Criterio (paráfrasis del desempeño · Programa Curricular, Matemática 3.º, págs. 238-239)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🌱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🌿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🌳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⭐</w:t>
            </w:r>
          </w:p>
        </w:tc>
      </w:tr>
      <w:tr>
        <w:tc>
          <w:tcPr>
            <w:tcW w:type="dxa" w:w="193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Traduce situaciones de agregar, quitar, comparar, igualar, repartir o combinar a operaciones de suma, resta, multiplicación o división con números de hasta tres cifras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Identifica la acción con material concreto y apoyo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Traduce con apoyo de esquema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Traduce la situación a la expresión numérica correcta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Plantea él/ella misma un problema nuevo del mismo tipo</w:t>
            </w:r>
          </w:p>
        </w:tc>
      </w:tr>
      <w:tr>
        <w:tc>
          <w:tcPr>
            <w:tcW w:type="dxa" w:w="1930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Expresa la comprensión de la centena, el valor posicional y la comparación de números con distintas representaciones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Representa con material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Representa y explica con apoyo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Expresa con números, dibujos y palabras la equivalencia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Explica a un compañero con sus propias representaciones</w:t>
            </w:r>
          </w:p>
        </w:tc>
      </w:tr>
      <w:tr>
        <w:tc>
          <w:tcPr>
            <w:tcW w:type="dxa" w:w="193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Usa estrategias de cálculo mental y escrito (descomposiciones, dobles y mitades, canjes)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Con material y apoyo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Elige una estrategia con pistas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Usa la estrategia adecuada al problema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Compara dos estrategias y justifica cuál conviene</w:t>
            </w:r>
          </w:p>
        </w:tc>
      </w:tr>
      <w:tr>
        <w:tc>
          <w:tcPr>
            <w:tcW w:type="dxa" w:w="1930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Explica afirmaciones sobre las relaciones numéricas con ejemplos concretos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Repite la explicación dada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Explica parcialmente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Explica con material concreto o ejemplos propios</w:t>
            </w:r>
          </w:p>
        </w:tc>
        <w:tc>
          <w:tcPr>
            <w:tcW w:type="dxa" w:w="1930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Encuentra un contraejemplo o una nueva relación</w:t>
            </w:r>
          </w:p>
        </w:tc>
      </w:tr>
    </w:tbl>
    <w:p/>
    <w:p>
      <w:r>
        <w:rPr>
          <w:rFonts w:ascii="Inter" w:hAnsi="Inter"/>
          <w:color w:val="222222"/>
          <w:sz w:val="21"/>
        </w:rPr>
        <w:t>*(Las rúbricas de Comunicación, Personal Social y Ciencia y Tecnología siguen esta misma</w:t>
      </w:r>
    </w:p>
    <w:p>
      <w:r>
        <w:rPr>
          <w:rFonts w:ascii="Inter" w:hAnsi="Inter"/>
          <w:color w:val="222222"/>
          <w:sz w:val="21"/>
        </w:rPr>
        <w:t>estructura y se generan desde el banco P2.2 para el grado que elijas — el archivo Word trae</w:t>
      </w:r>
    </w:p>
    <w:p>
      <w:r>
        <w:rPr>
          <w:rFonts w:ascii="Inter" w:hAnsi="Inter"/>
          <w:color w:val="222222"/>
          <w:sz w:val="21"/>
        </w:rPr>
        <w:t>las cuatro por grado, listas para editar.)*</w:t>
      </w:r>
    </w:p>
    <w:p>
      <w:r>
        <w:rPr>
          <w:rFonts w:ascii="Inter" w:hAnsi="Inter"/>
          <w:b/>
          <w:color w:val="222222"/>
          <w:sz w:val="21"/>
        </w:rPr>
        <w:t>Salvaguarda:</w:t>
      </w:r>
      <w:r>
        <w:rPr>
          <w:rFonts w:ascii="Inter" w:hAnsi="Inter"/>
          <w:color w:val="222222"/>
          <w:sz w:val="21"/>
        </w:rPr>
        <w:t xml:space="preserve"> esta rúbrica evalúa el avance hacia la competencia — no "toma la lección" del</w:t>
      </w:r>
    </w:p>
    <w:p>
      <w:r>
        <w:rPr>
          <w:rFonts w:ascii="Inter" w:hAnsi="Inter"/>
          <w:color w:val="222222"/>
          <w:sz w:val="21"/>
        </w:rPr>
        <w:t>texto normativo. Si un criterio no se entiende sin leer el documento oficial, parafraséalo mejor:</w:t>
      </w:r>
    </w:p>
    <w:p>
      <w:r>
        <w:rPr>
          <w:rFonts w:ascii="Inter" w:hAnsi="Inter"/>
          <w:color w:val="222222"/>
          <w:sz w:val="21"/>
        </w:rPr>
        <w:t>el estudiante debe poder reconocer qué se espera de él.</w:t>
      </w:r>
    </w:p>
    <w:p/>
    <w:sectPr w:rsidR="00FC693F" w:rsidRPr="0006063C" w:rsidSect="00034616">
      <w:headerReference w:type="default" r:id="rId9"/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i/>
        <w:color w:val="5A5A5A"/>
        <w:sz w:val="14"/>
      </w:rPr>
      <w:t>Verificado contra los documentos oficiales públicos del MINEDU · No es una publicación del MINEDU ni cuenta con su aval · Atenea Grupo Educativo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68275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752" cy="25603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