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3238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219200"/>
                    </a:xfrm>
                    <a:prstGeom prst="rect">
                      <a:avLst/>
                    </a:prstGeom>
                  </pic:spPr>
                </pic:pic>
              </a:graphicData>
            </a:graphic>
          </wp:inline>
        </w:drawing>
      </w:r>
    </w:p>
    <w:p>
      <w:pPr>
        <w:spacing w:after="240"/>
        <w:jc w:val="center"/>
      </w:pPr>
      <w:r>
        <w:rPr>
          <w:rFonts w:ascii="Merriweather" w:cs="Merriweather" w:eastAsia="Merriweather" w:hAnsi="Merriweather"/>
          <w:b/>
          <w:bCs/>
          <w:color w:val="1A365D"/>
          <w:sz w:val="48"/>
          <w:szCs w:val="48"/>
        </w:rPr>
        <w:t xml:space="preserve">Guía · Los tres formatos, un solo trabajo</w:t>
      </w:r>
    </w:p>
    <w:p>
      <w:pPr>
        <w:spacing w:after="900"/>
        <w:jc w:val="center"/>
      </w:pPr>
      <w:r>
        <w:rPr>
          <w:rFonts w:ascii="Inter" w:cs="Inter" w:eastAsia="Inter" w:hAnsi="Inter"/>
          <w:i/>
          <w:iCs/>
          <w:color w:val="5A5A5A"/>
          <w:sz w:val="26"/>
          <w:szCs w:val="26"/>
        </w:rPr>
        <w:t xml:space="preserve">Qué pide la normativa colombiana de verdad — y el método que lo resuelve</w:t>
      </w:r>
    </w:p>
    <w:p>
      <w:pPr>
        <w:jc w:val="center"/>
      </w:pPr>
      <w:r>
        <w:rPr>
          <w:rFonts w:ascii="Inter" w:cs="Inter" w:eastAsia="Inter" w:hAnsi="Inter"/>
          <w:b/>
          <w:bCs/>
          <w:color w:val="1A365D"/>
          <w:sz w:val="22"/>
          <w:szCs w:val="22"/>
        </w:rPr>
        <w:t xml:space="preserve">Kit PlanifiKIA edición Colombia · Contenidos transcritos y verificados contra los documentos oficiales públicos</w:t>
      </w:r>
    </w:p>
    <w:p>
      <w:pPr>
        <w:spacing w:before="500"/>
        <w:jc w:val="center"/>
      </w:pPr>
      <w:r>
        <w:rPr>
          <w:rFonts w:ascii="Merriweather" w:cs="Merriweather" w:eastAsia="Merriweather" w:hAnsi="Merriweather"/>
          <w:i/>
          <w:iCs/>
          <w:color w:val="E05A47"/>
          <w:sz w:val="22"/>
          <w:szCs w:val="22"/>
        </w:rPr>
        <w:t xml:space="preserve">Menos desgaste administrativo. Más tiempo para enseñar.</w:t>
      </w:r>
    </w:p>
    <w:p>
      <w:r>
        <w:br w:type="page"/>
      </w:r>
    </w:p>
    <w:p>
      <w:pPr>
        <w:pStyle w:val="Heading1"/>
        <w:spacing w:after="140" w:before="300"/>
      </w:pPr>
      <w:r>
        <w:rPr>
          <w:rFonts w:ascii="Merriweather" w:cs="Merriweather" w:eastAsia="Merriweather" w:hAnsi="Merriweather"/>
          <w:b/>
          <w:bCs/>
          <w:color w:val="1A365D"/>
          <w:sz w:val="28"/>
          <w:szCs w:val="28"/>
        </w:rPr>
        <w:t xml:space="preserve">Antes de empezar: respira, profe</w:t>
      </w:r>
    </w:p>
    <w:p>
      <w:pPr>
        <w:spacing w:after="140"/>
      </w:pPr>
      <w:r>
        <w:rPr>
          <w:rFonts w:ascii="Inter" w:cs="Inter" w:eastAsia="Inter" w:hAnsi="Inter"/>
          <w:color w:val="222222"/>
          <w:sz w:val="22"/>
          <w:szCs w:val="22"/>
        </w:rPr>
        <w:t xml:space="preserve">Si estás leyendo esto, seguramente te han pedido —a veces la misma semana— un </w:t>
      </w:r>
      <w:r>
        <w:rPr>
          <w:rFonts w:ascii="Inter" w:cs="Inter" w:eastAsia="Inter" w:hAnsi="Inter"/>
          <w:b/>
          <w:bCs/>
          <w:color w:val="222222"/>
          <w:sz w:val="22"/>
          <w:szCs w:val="22"/>
        </w:rPr>
        <w:t xml:space="preserve">plan de área</w:t>
      </w:r>
      <w:r>
        <w:rPr>
          <w:rFonts w:ascii="Inter" w:cs="Inter" w:eastAsia="Inter" w:hAnsi="Inter"/>
          <w:color w:val="222222"/>
          <w:sz w:val="22"/>
          <w:szCs w:val="22"/>
        </w:rPr>
        <w:t xml:space="preserve">, un </w:t>
      </w:r>
      <w:r>
        <w:rPr>
          <w:rFonts w:ascii="Inter" w:cs="Inter" w:eastAsia="Inter" w:hAnsi="Inter"/>
          <w:b/>
          <w:bCs/>
          <w:color w:val="222222"/>
          <w:sz w:val="22"/>
          <w:szCs w:val="22"/>
        </w:rPr>
        <w:t xml:space="preserve">plan de aula</w:t>
      </w:r>
      <w:r>
        <w:rPr>
          <w:rFonts w:ascii="Inter" w:cs="Inter" w:eastAsia="Inter" w:hAnsi="Inter"/>
          <w:color w:val="222222"/>
          <w:sz w:val="22"/>
          <w:szCs w:val="22"/>
        </w:rPr>
        <w:t xml:space="preserve"> (el "parcelador", como lo llamamos entre colegas) y una </w:t>
      </w:r>
      <w:r>
        <w:rPr>
          <w:rFonts w:ascii="Inter" w:cs="Inter" w:eastAsia="Inter" w:hAnsi="Inter"/>
          <w:b/>
          <w:bCs/>
          <w:color w:val="222222"/>
          <w:sz w:val="22"/>
          <w:szCs w:val="22"/>
        </w:rPr>
        <w:t xml:space="preserve">malla curricular</w:t>
      </w:r>
      <w:r>
        <w:rPr>
          <w:rFonts w:ascii="Inter" w:cs="Inter" w:eastAsia="Inter" w:hAnsi="Inter"/>
          <w:color w:val="222222"/>
          <w:sz w:val="22"/>
          <w:szCs w:val="22"/>
        </w:rPr>
        <w:t xml:space="preserve">. Tres formatos, tres plantillas distintas, tres fines de semana. Y una sospecha razonable: </w:t>
      </w:r>
      <w:r>
        <w:rPr>
          <w:rFonts w:ascii="Inter" w:cs="Inter" w:eastAsia="Inter" w:hAnsi="Inter"/>
          <w:i/>
          <w:iCs/>
          <w:color w:val="444444"/>
          <w:sz w:val="22"/>
          <w:szCs w:val="22"/>
        </w:rPr>
        <w:t xml:space="preserve">¿de verdad la norma me exige todo esto por triplicado?</w:t>
      </w:r>
    </w:p>
    <w:p>
      <w:pPr>
        <w:spacing w:after="140"/>
      </w:pPr>
      <w:r>
        <w:rPr>
          <w:rFonts w:ascii="Inter" w:cs="Inter" w:eastAsia="Inter" w:hAnsi="Inter"/>
          <w:color w:val="222222"/>
          <w:sz w:val="22"/>
          <w:szCs w:val="22"/>
        </w:rPr>
        <w:t xml:space="preserve">La respuesta corta, verificada contra los documentos oficiales públicos del Ministerio de Educación Nacional: </w:t>
      </w:r>
      <w:r>
        <w:rPr>
          <w:rFonts w:ascii="Inter" w:cs="Inter" w:eastAsia="Inter" w:hAnsi="Inter"/>
          <w:b/>
          <w:bCs/>
          <w:color w:val="222222"/>
          <w:sz w:val="22"/>
          <w:szCs w:val="22"/>
        </w:rPr>
        <w:t xml:space="preserve">no</w:t>
      </w:r>
      <w:r>
        <w:rPr>
          <w:rFonts w:ascii="Inter" w:cs="Inter" w:eastAsia="Inter" w:hAnsi="Inter"/>
          <w:color w:val="222222"/>
          <w:sz w:val="22"/>
          <w:szCs w:val="22"/>
        </w:rPr>
        <w:t xml:space="preserve">.</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Los Derechos Básicos de Aprendizaje (DBA) </w:t>
            </w:r>
            <w:r>
              <w:rPr>
                <w:rFonts w:ascii="Inter" w:cs="Inter" w:eastAsia="Inter" w:hAnsi="Inter"/>
                <w:i/>
                <w:iCs/>
                <w:color w:val="444444"/>
                <w:sz w:val="20"/>
                <w:szCs w:val="20"/>
              </w:rPr>
              <w:t xml:space="preserve">no prescriben ni exigen ningún formato específico</w:t>
            </w:r>
            <w:r>
              <w:rPr>
                <w:rFonts w:ascii="Inter" w:cs="Inter" w:eastAsia="Inter" w:hAnsi="Inter"/>
                <w:color w:val="222222"/>
                <w:sz w:val="20"/>
                <w:szCs w:val="20"/>
              </w:rPr>
              <w:t xml:space="preserve"> de plan de área, plan de aula ni malla curricular. Los formatos los define cada institución en el marco de su PEI. El MEN pide el aprendizaje — el triple formato es una costumbre institucional, no una ley.</w:t>
            </w:r>
          </w:p>
        </w:tc>
      </w:tr>
    </w:tbl>
    <w:p>
      <w:pPr>
        <w:spacing w:after="80"/>
      </w:pPr>
    </w:p>
    <w:p>
      <w:pPr>
        <w:pStyle w:val="Heading2"/>
        <w:spacing w:after="140" w:before="220"/>
      </w:pPr>
      <w:r>
        <w:rPr>
          <w:rFonts w:ascii="Merriweather" w:cs="Merriweather" w:eastAsia="Merriweather" w:hAnsi="Merriweather"/>
          <w:b/>
          <w:bCs/>
          <w:color w:val="D4AF37"/>
          <w:sz w:val="24"/>
          <w:szCs w:val="24"/>
        </w:rPr>
        <w:t xml:space="preserve">Qué son los DBA de verdad (y qué no son)</w:t>
      </w:r>
    </w:p>
    <w:p>
      <w:pPr>
        <w:spacing w:after="140"/>
      </w:pPr>
      <w:r>
        <w:rPr>
          <w:rFonts w:ascii="Inter" w:cs="Inter" w:eastAsia="Inter" w:hAnsi="Inter"/>
          <w:color w:val="222222"/>
          <w:sz w:val="22"/>
          <w:szCs w:val="22"/>
        </w:rPr>
        <w:t xml:space="preserve">Los DBA son el </w:t>
      </w:r>
      <w:r>
        <w:rPr>
          <w:rFonts w:ascii="Inter" w:cs="Inter" w:eastAsia="Inter" w:hAnsi="Inter"/>
          <w:i/>
          <w:iCs/>
          <w:color w:val="444444"/>
          <w:sz w:val="22"/>
          <w:szCs w:val="22"/>
        </w:rPr>
        <w:t xml:space="preserve">"conjunto de aprendizajes estructurantes que han de aprender los estudiantes en cada uno de los grados"</w:t>
      </w:r>
      <w:r>
        <w:rPr>
          <w:rFonts w:ascii="Inter" w:cs="Inter" w:eastAsia="Inter" w:hAnsi="Inter"/>
          <w:color w:val="222222"/>
          <w:sz w:val="22"/>
          <w:szCs w:val="22"/>
        </w:rPr>
        <w:t xml:space="preserve">. Estructurantes porque </w:t>
      </w:r>
      <w:r>
        <w:rPr>
          <w:rFonts w:ascii="Inter" w:cs="Inter" w:eastAsia="Inter" w:hAnsi="Inter"/>
          <w:i/>
          <w:iCs/>
          <w:color w:val="444444"/>
          <w:sz w:val="22"/>
          <w:szCs w:val="22"/>
        </w:rPr>
        <w:t xml:space="preserve">"expresan las unidades básicas y fundamentales sobre las cuales se puede edificar el desarrollo futuro del individuo"</w:t>
      </w:r>
      <w:r>
        <w:rPr>
          <w:rFonts w:ascii="Inter" w:cs="Inter" w:eastAsia="Inter" w:hAnsi="Inter"/>
          <w:color w:val="222222"/>
          <w:sz w:val="22"/>
          <w:szCs w:val="22"/>
        </w:rPr>
        <w:t xml:space="preserve">.</w:t>
      </w:r>
    </w:p>
    <w:p>
      <w:pPr>
        <w:spacing w:after="140"/>
      </w:pPr>
      <w:r>
        <w:rPr>
          <w:rFonts w:ascii="Inter" w:cs="Inter" w:eastAsia="Inter" w:hAnsi="Inter"/>
          <w:color w:val="222222"/>
          <w:sz w:val="22"/>
          <w:szCs w:val="22"/>
        </w:rPr>
        <w:t xml:space="preserve">Igual de importante es lo que </w:t>
      </w:r>
      <w:r>
        <w:rPr>
          <w:rFonts w:ascii="Inter" w:cs="Inter" w:eastAsia="Inter" w:hAnsi="Inter"/>
          <w:b/>
          <w:bCs/>
          <w:color w:val="222222"/>
          <w:sz w:val="22"/>
          <w:szCs w:val="22"/>
        </w:rPr>
        <w:t xml:space="preserve">no</w:t>
      </w:r>
      <w:r>
        <w:rPr>
          <w:rFonts w:ascii="Inter" w:cs="Inter" w:eastAsia="Inter" w:hAnsi="Inter"/>
          <w:color w:val="222222"/>
          <w:sz w:val="22"/>
          <w:szCs w:val="22"/>
        </w:rPr>
        <w:t xml:space="preserve"> son:</w:t>
      </w:r>
    </w:p>
    <w:p>
      <w:pPr>
        <w:spacing w:after="90"/>
        <w:ind w:left="360"/>
      </w:pPr>
      <w:r>
        <w:rPr>
          <w:rFonts w:ascii="Inter" w:cs="Inter" w:eastAsia="Inter" w:hAnsi="Inter"/>
          <w:sz w:val="22"/>
          <w:szCs w:val="22"/>
        </w:rPr>
        <w:t xml:space="preserve">•  </w:t>
      </w:r>
      <w:r>
        <w:rPr>
          <w:rFonts w:ascii="Inter" w:cs="Inter" w:eastAsia="Inter" w:hAnsi="Inter"/>
          <w:b/>
          <w:bCs/>
          <w:color w:val="222222"/>
          <w:sz w:val="22"/>
          <w:szCs w:val="22"/>
        </w:rPr>
        <w:t xml:space="preserve">No son un currículo cerrado</w:t>
      </w:r>
      <w:r>
        <w:rPr>
          <w:rFonts w:ascii="Inter" w:cs="Inter" w:eastAsia="Inter" w:hAnsi="Inter"/>
          <w:color w:val="222222"/>
          <w:sz w:val="22"/>
          <w:szCs w:val="22"/>
        </w:rPr>
        <w:t xml:space="preserve">: los documentos oficiales dicen textualmente que </w:t>
      </w:r>
      <w:r>
        <w:rPr>
          <w:rFonts w:ascii="Inter" w:cs="Inter" w:eastAsia="Inter" w:hAnsi="Inter"/>
          <w:i/>
          <w:iCs/>
          <w:color w:val="444444"/>
          <w:sz w:val="22"/>
          <w:szCs w:val="22"/>
        </w:rPr>
        <w:t xml:space="preserve">"los DBA por sí solos no constituyen una propuesta curricular"</w:t>
      </w:r>
      <w:r>
        <w:rPr>
          <w:rFonts w:ascii="Inter" w:cs="Inter" w:eastAsia="Inter" w:hAnsi="Inter"/>
          <w:color w:val="222222"/>
          <w:sz w:val="22"/>
          <w:szCs w:val="22"/>
        </w:rPr>
        <w:t xml:space="preserve"> y que </w:t>
      </w:r>
      <w:r>
        <w:rPr>
          <w:rFonts w:ascii="Inter" w:cs="Inter" w:eastAsia="Inter" w:hAnsi="Inter"/>
          <w:i/>
          <w:iCs/>
          <w:color w:val="444444"/>
          <w:sz w:val="22"/>
          <w:szCs w:val="22"/>
        </w:rPr>
        <w:t xml:space="preserve">"no pretenden reemplazar el currículo existente"</w:t>
      </w:r>
      <w:r>
        <w:rPr>
          <w:rFonts w:ascii="Inter" w:cs="Inter" w:eastAsia="Inter" w:hAnsi="Inter"/>
          <w:color w:val="222222"/>
          <w:sz w:val="22"/>
          <w:szCs w:val="22"/>
        </w:rPr>
        <w:t xml:space="preserve">. Son </w:t>
      </w:r>
      <w:r>
        <w:rPr>
          <w:rFonts w:ascii="Inter" w:cs="Inter" w:eastAsia="Inter" w:hAnsi="Inter"/>
          <w:i/>
          <w:iCs/>
          <w:color w:val="444444"/>
          <w:sz w:val="22"/>
          <w:szCs w:val="22"/>
        </w:rPr>
        <w:t xml:space="preserve">"una estrategia para promover la flexibilidad curricular"</w:t>
      </w:r>
      <w:r>
        <w:rPr>
          <w:rFonts w:ascii="Inter" w:cs="Inter" w:eastAsia="Inter" w:hAnsi="Inter"/>
          <w:color w:val="222222"/>
          <w:sz w:val="22"/>
          <w:szCs w:val="22"/>
        </w:rPr>
        <w:t xml:space="preserve">.</w:t>
      </w:r>
    </w:p>
    <w:p>
      <w:pPr>
        <w:spacing w:after="90"/>
        <w:ind w:left="360"/>
      </w:pPr>
      <w:r>
        <w:rPr>
          <w:rFonts w:ascii="Inter" w:cs="Inter" w:eastAsia="Inter" w:hAnsi="Inter"/>
          <w:sz w:val="22"/>
          <w:szCs w:val="22"/>
        </w:rPr>
        <w:t xml:space="preserve">•  </w:t>
      </w:r>
      <w:r>
        <w:rPr>
          <w:rFonts w:ascii="Inter" w:cs="Inter" w:eastAsia="Inter" w:hAnsi="Inter"/>
          <w:b/>
          <w:bCs/>
          <w:color w:val="222222"/>
          <w:sz w:val="22"/>
          <w:szCs w:val="22"/>
        </w:rPr>
        <w:t xml:space="preserve">No traen orden obligatorio</w:t>
      </w:r>
      <w:r>
        <w:rPr>
          <w:rFonts w:ascii="Inter" w:cs="Inter" w:eastAsia="Inter" w:hAnsi="Inter"/>
          <w:color w:val="222222"/>
          <w:sz w:val="22"/>
          <w:szCs w:val="22"/>
        </w:rPr>
        <w:t xml:space="preserve">: la numeración de los DBA no indica secuencia de enseñanza. El DBA 1 no va primero "porque es el 1". La ruta del año la decides tú con tu institución.</w:t>
      </w:r>
    </w:p>
    <w:p>
      <w:pPr>
        <w:spacing w:after="90"/>
        <w:ind w:left="360"/>
      </w:pPr>
      <w:r>
        <w:rPr>
          <w:rFonts w:ascii="Inter" w:cs="Inter" w:eastAsia="Inter" w:hAnsi="Inter"/>
          <w:sz w:val="22"/>
          <w:szCs w:val="22"/>
        </w:rPr>
        <w:t xml:space="preserve">•  </w:t>
      </w:r>
      <w:r>
        <w:rPr>
          <w:rFonts w:ascii="Inter" w:cs="Inter" w:eastAsia="Inter" w:hAnsi="Inter"/>
          <w:b/>
          <w:bCs/>
          <w:color w:val="222222"/>
          <w:sz w:val="22"/>
          <w:szCs w:val="22"/>
        </w:rPr>
        <w:t xml:space="preserve">No son un formato</w:t>
      </w:r>
      <w:r>
        <w:rPr>
          <w:rFonts w:ascii="Inter" w:cs="Inter" w:eastAsia="Inter" w:hAnsi="Inter"/>
          <w:color w:val="222222"/>
          <w:sz w:val="22"/>
          <w:szCs w:val="22"/>
        </w:rPr>
        <w:t xml:space="preserve">: ningún documento oficial trae "el machote" del plan de área, del plan de aula ni de la malla. Eso lo decide cada institución educativa.</w:t>
      </w:r>
    </w:p>
    <w:p>
      <w:pPr>
        <w:pStyle w:val="Heading2"/>
        <w:spacing w:after="140" w:before="220"/>
      </w:pPr>
      <w:r>
        <w:rPr>
          <w:rFonts w:ascii="Merriweather" w:cs="Merriweather" w:eastAsia="Merriweather" w:hAnsi="Merriweather"/>
          <w:b/>
          <w:bCs/>
          <w:color w:val="D4AF37"/>
          <w:sz w:val="24"/>
          <w:szCs w:val="24"/>
        </w:rPr>
        <w:t xml:space="preserve">Cómo se estructura un DBA (los 3 elementos que vas a usar todo el año)</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3120"/>
        <w:gridCol w:w="3120"/>
        <w:gridCol w:w="3120"/>
      </w:tblGrid>
      <w:tr>
        <w:trPr>
          <w:tblHeader/>
        </w:trPr>
        <w:tc>
          <w:tcPr>
            <w:tcW w:type="dxa" w:w="312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Elemento</w:t>
            </w:r>
          </w:p>
        </w:tc>
        <w:tc>
          <w:tcPr>
            <w:tcW w:type="dxa" w:w="312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Qué es</w:t>
            </w:r>
          </w:p>
        </w:tc>
        <w:tc>
          <w:tcPr>
            <w:tcW w:type="dxa" w:w="312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Para qué te sirve</w:t>
            </w:r>
          </w:p>
        </w:tc>
      </w:tr>
      <w:tr>
        <w:tc>
          <w:tcPr>
            <w:tcW w:type="dxa" w:w="312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Enunciado</w:t>
            </w:r>
          </w:p>
        </w:tc>
        <w:tc>
          <w:tcPr>
            <w:tcW w:type="dxa" w:w="312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El aprendizaje estructurante del grado</w:t>
            </w:r>
          </w:p>
        </w:tc>
        <w:tc>
          <w:tcPr>
            <w:tcW w:type="dxa" w:w="312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Es lo que citas textual en tu planeación</w:t>
            </w:r>
          </w:p>
        </w:tc>
      </w:tr>
      <w:tr>
        <w:tc>
          <w:tcPr>
            <w:tcW w:type="dxa" w:w="312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Evidencias de aprendizaje</w:t>
            </w:r>
          </w:p>
        </w:tc>
        <w:tc>
          <w:tcPr>
            <w:tcW w:type="dxa" w:w="312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Los indicios observables de que el aprendizaje se logra</w:t>
            </w:r>
          </w:p>
        </w:tc>
        <w:tc>
          <w:tcPr>
            <w:tcW w:type="dxa" w:w="312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Son tus criterios de evaluación casi listos</w:t>
            </w:r>
          </w:p>
        </w:tc>
      </w:tr>
      <w:tr>
        <w:tc>
          <w:tcPr>
            <w:tcW w:type="dxa" w:w="312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Ejemplo</w:t>
            </w:r>
          </w:p>
        </w:tc>
        <w:tc>
          <w:tcPr>
            <w:tcW w:type="dxa" w:w="312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Una situación concreta que ilustra la capacidad</w:t>
            </w:r>
          </w:p>
        </w:tc>
        <w:tc>
          <w:tcPr>
            <w:tcW w:type="dxa" w:w="312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Inspira tus actividades sin obligarte a copiarlas</w:t>
            </w:r>
          </w:p>
        </w:tc>
      </w:tr>
    </w:tbl>
    <w:p>
      <w:pPr>
        <w:spacing w:after="80"/>
      </w:pPr>
    </w:p>
    <w:p>
      <w:pPr>
        <w:spacing w:after="140"/>
      </w:pPr>
      <w:r>
        <w:rPr>
          <w:rFonts w:ascii="Inter" w:cs="Inter" w:eastAsia="Inter" w:hAnsi="Inter"/>
          <w:color w:val="222222"/>
          <w:sz w:val="22"/>
          <w:szCs w:val="22"/>
        </w:rPr>
        <w:t xml:space="preserve">En inglés la estructura cambia (enunciado + ideas secundarias + ejemplo + íconos de habilidades) — el banco del kit te lo explica en su sección.</w:t>
      </w:r>
    </w:p>
    <w:p>
      <w:pPr>
        <w:pStyle w:val="Heading2"/>
        <w:spacing w:after="140" w:before="220"/>
      </w:pPr>
      <w:r>
        <w:rPr>
          <w:rFonts w:ascii="Merriweather" w:cs="Merriweather" w:eastAsia="Merriweather" w:hAnsi="Merriweather"/>
          <w:b/>
          <w:bCs/>
          <w:color w:val="D4AF37"/>
          <w:sz w:val="24"/>
          <w:szCs w:val="24"/>
        </w:rPr>
        <w:t xml:space="preserve">La coherencia hacia arriba: DBA, EBC y tu PEI</w:t>
      </w:r>
    </w:p>
    <w:p>
      <w:pPr>
        <w:spacing w:after="140"/>
      </w:pPr>
      <w:r>
        <w:rPr>
          <w:rFonts w:ascii="Inter" w:cs="Inter" w:eastAsia="Inter" w:hAnsi="Inter"/>
          <w:color w:val="222222"/>
          <w:sz w:val="22"/>
          <w:szCs w:val="22"/>
        </w:rPr>
        <w:t xml:space="preserve">Los DBA se organizan </w:t>
      </w:r>
      <w:r>
        <w:rPr>
          <w:rFonts w:ascii="Inter" w:cs="Inter" w:eastAsia="Inter" w:hAnsi="Inter"/>
          <w:b/>
          <w:bCs/>
          <w:color w:val="222222"/>
          <w:sz w:val="22"/>
          <w:szCs w:val="22"/>
        </w:rPr>
        <w:t xml:space="preserve">por grado individual</w:t>
      </w:r>
      <w:r>
        <w:rPr>
          <w:rFonts w:ascii="Inter" w:cs="Inter" w:eastAsia="Inter" w:hAnsi="Inter"/>
          <w:color w:val="222222"/>
          <w:sz w:val="22"/>
          <w:szCs w:val="22"/>
        </w:rPr>
        <w:t xml:space="preserve"> (a diferencia de los Estándares Básicos de Competencias, que agrupan grados). La lectura correcta: los DBA son la ruta año a año para alcanzar los EBC del grupo de grados. Y la norma es explícita en que deben articularse </w:t>
      </w:r>
      <w:r>
        <w:rPr>
          <w:rFonts w:ascii="Inter" w:cs="Inter" w:eastAsia="Inter" w:hAnsi="Inter"/>
          <w:i/>
          <w:iCs/>
          <w:color w:val="444444"/>
          <w:sz w:val="22"/>
          <w:szCs w:val="22"/>
        </w:rPr>
        <w:t xml:space="preserve">"con los enfoques, metodologías, estrategias y contextos definidos en cada establecimiento educativo, en el marco de los PEI materializados en los planes de área y de aula"</w:t>
      </w:r>
      <w:r>
        <w:rPr>
          <w:rFonts w:ascii="Inter" w:cs="Inter" w:eastAsia="Inter" w:hAnsi="Inter"/>
          <w:color w:val="222222"/>
          <w:sz w:val="22"/>
          <w:szCs w:val="22"/>
        </w:rPr>
        <w:t xml:space="preserve">. Traducción: tu planeación vale cuando cita el DBA </w:t>
      </w:r>
      <w:r>
        <w:rPr>
          <w:rFonts w:ascii="Inter" w:cs="Inter" w:eastAsia="Inter" w:hAnsi="Inter"/>
          <w:b/>
          <w:bCs/>
          <w:color w:val="222222"/>
          <w:sz w:val="22"/>
          <w:szCs w:val="22"/>
        </w:rPr>
        <w:t xml:space="preserve">y</w:t>
      </w:r>
      <w:r>
        <w:rPr>
          <w:rFonts w:ascii="Inter" w:cs="Inter" w:eastAsia="Inter" w:hAnsi="Inter"/>
          <w:color w:val="222222"/>
          <w:sz w:val="22"/>
          <w:szCs w:val="22"/>
        </w:rPr>
        <w:t xml:space="preserve"> dialoga con tu PEI — no cuando llena un formato bonito.</w:t>
      </w:r>
    </w:p>
    <w:p>
      <w:pPr>
        <w:pStyle w:val="Heading1"/>
        <w:spacing w:after="140" w:before="300"/>
      </w:pPr>
      <w:r>
        <w:rPr>
          <w:rFonts w:ascii="Merriweather" w:cs="Merriweather" w:eastAsia="Merriweather" w:hAnsi="Merriweather"/>
          <w:b/>
          <w:bCs/>
          <w:color w:val="1A365D"/>
          <w:sz w:val="28"/>
          <w:szCs w:val="28"/>
        </w:rPr>
        <w:t xml:space="preserve">El método del kit: planea una vez, entrega los tres formatos</w:t>
      </w:r>
    </w:p>
    <w:p>
      <w:pPr>
        <w:spacing w:after="140"/>
      </w:pPr>
      <w:r>
        <w:rPr>
          <w:rFonts w:ascii="Inter" w:cs="Inter" w:eastAsia="Inter" w:hAnsi="Inter"/>
          <w:color w:val="222222"/>
          <w:sz w:val="22"/>
          <w:szCs w:val="22"/>
        </w:rPr>
        <w:t xml:space="preserve">Si el MEN pide el aprendizaje y no el formato, entonces el trabajo pedagógico real es </w:t>
      </w:r>
      <w:r>
        <w:rPr>
          <w:rFonts w:ascii="Inter" w:cs="Inter" w:eastAsia="Inter" w:hAnsi="Inter"/>
          <w:b/>
          <w:bCs/>
          <w:color w:val="222222"/>
          <w:sz w:val="22"/>
          <w:szCs w:val="22"/>
        </w:rPr>
        <w:t xml:space="preserve">uno solo</w:t>
      </w:r>
      <w:r>
        <w:rPr>
          <w:rFonts w:ascii="Inter" w:cs="Inter" w:eastAsia="Inter" w:hAnsi="Inter"/>
          <w:color w:val="222222"/>
          <w:sz w:val="22"/>
          <w:szCs w:val="22"/>
        </w:rPr>
        <w:t xml:space="preserve">: decidir qué DBA trabajar, con qué evidencias, con qué estrategias, en qué orden y por qué. Eso vive en un único lugar — el </w:t>
      </w:r>
      <w:r>
        <w:rPr>
          <w:rFonts w:ascii="Inter" w:cs="Inter" w:eastAsia="Inter" w:hAnsi="Inter"/>
          <w:b/>
          <w:bCs/>
          <w:color w:val="222222"/>
          <w:sz w:val="22"/>
          <w:szCs w:val="22"/>
        </w:rPr>
        <w:t xml:space="preserve">planeador maestro</w:t>
      </w:r>
      <w:r>
        <w:rPr>
          <w:rFonts w:ascii="Inter" w:cs="Inter" w:eastAsia="Inter" w:hAnsi="Inter"/>
          <w:color w:val="222222"/>
          <w:sz w:val="22"/>
          <w:szCs w:val="22"/>
        </w:rPr>
        <w:t xml:space="preserve"> (pieza P2.1 de este kit) — y de ahí se derivan las tres salidas que tu institución te pida:</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 </w:t>
      </w:r>
      <w:r>
        <w:rPr>
          <w:rFonts w:ascii="Inter" w:cs="Inter" w:eastAsia="Inter" w:hAnsi="Inter"/>
          <w:b/>
          <w:bCs/>
          <w:color w:val="222222"/>
          <w:sz w:val="22"/>
          <w:szCs w:val="22"/>
        </w:rPr>
        <w:t xml:space="preserve">plan de área</w:t>
      </w:r>
      <w:r>
        <w:rPr>
          <w:rFonts w:ascii="Inter" w:cs="Inter" w:eastAsia="Inter" w:hAnsi="Inter"/>
          <w:color w:val="222222"/>
          <w:sz w:val="22"/>
          <w:szCs w:val="22"/>
        </w:rPr>
        <w:t xml:space="preserve"> toma del planeador la visión anual por grado: DBA del año, secuencia por periodos y su justificación, articulación con EBC y PEI.</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El </w:t>
      </w:r>
      <w:r>
        <w:rPr>
          <w:rFonts w:ascii="Inter" w:cs="Inter" w:eastAsia="Inter" w:hAnsi="Inter"/>
          <w:b/>
          <w:bCs/>
          <w:color w:val="222222"/>
          <w:sz w:val="22"/>
          <w:szCs w:val="22"/>
        </w:rPr>
        <w:t xml:space="preserve">plan de aula / parcelador</w:t>
      </w:r>
      <w:r>
        <w:rPr>
          <w:rFonts w:ascii="Inter" w:cs="Inter" w:eastAsia="Inter" w:hAnsi="Inter"/>
          <w:color w:val="222222"/>
          <w:sz w:val="22"/>
          <w:szCs w:val="22"/>
        </w:rPr>
        <w:t xml:space="preserve"> toma la ventana corta: el DBA en curso, sus evidencias, las estrategias y recursos de estas semanas.</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La </w:t>
      </w:r>
      <w:r>
        <w:rPr>
          <w:rFonts w:ascii="Inter" w:cs="Inter" w:eastAsia="Inter" w:hAnsi="Inter"/>
          <w:b/>
          <w:bCs/>
          <w:color w:val="222222"/>
          <w:sz w:val="22"/>
          <w:szCs w:val="22"/>
        </w:rPr>
        <w:t xml:space="preserve">malla curricular</w:t>
      </w:r>
      <w:r>
        <w:rPr>
          <w:rFonts w:ascii="Inter" w:cs="Inter" w:eastAsia="Inter" w:hAnsi="Inter"/>
          <w:color w:val="222222"/>
          <w:sz w:val="22"/>
          <w:szCs w:val="22"/>
        </w:rPr>
        <w:t xml:space="preserve"> toma la vista panorámica: DBA × periodos × grados, en una cuadrícula que un coordinador lee en minutos.</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La prueba de coherencia que un coordinador aplica (a veces sin saberlo): ¿los tres formatos citan los mismos DBA? ¿todo lo que está en la malla se rastrea al plan de área? Cuando los tres salen del mismo planeador, la coherencia es automática — y las devoluciones se acaban.</w:t>
            </w:r>
          </w:p>
        </w:tc>
      </w:tr>
    </w:tbl>
    <w:p>
      <w:pPr>
        <w:spacing w:after="80"/>
      </w:pPr>
    </w:p>
    <w:p>
      <w:pPr>
        <w:pStyle w:val="Heading2"/>
        <w:spacing w:after="140" w:before="220"/>
      </w:pPr>
      <w:r>
        <w:rPr>
          <w:rFonts w:ascii="Merriweather" w:cs="Merriweather" w:eastAsia="Merriweather" w:hAnsi="Merriweather"/>
          <w:b/>
          <w:bCs/>
          <w:color w:val="D4AF37"/>
          <w:sz w:val="24"/>
          <w:szCs w:val="24"/>
        </w:rPr>
        <w:t xml:space="preserve">El mapa del kit (por dónde seguir)</w:t>
      </w:r>
    </w:p>
    <w:p>
      <w:pPr>
        <w:spacing w:after="90"/>
        <w:ind w:left="360"/>
      </w:pPr>
      <w:r>
        <w:rPr>
          <w:rFonts w:ascii="Inter" w:cs="Inter" w:eastAsia="Inter" w:hAnsi="Inter"/>
          <w:b/>
          <w:bCs/>
          <w:sz w:val="22"/>
          <w:szCs w:val="22"/>
        </w:rPr>
        <w:t xml:space="preserve">1.  </w:t>
      </w:r>
      <w:r>
        <w:rPr>
          <w:rFonts w:ascii="Inter" w:cs="Inter" w:eastAsia="Inter" w:hAnsi="Inter"/>
          <w:b/>
          <w:bCs/>
          <w:color w:val="222222"/>
          <w:sz w:val="22"/>
          <w:szCs w:val="22"/>
        </w:rPr>
        <w:t xml:space="preserve">P1.2 · Mapa de los 3 formatos</w:t>
      </w:r>
      <w:r>
        <w:rPr>
          <w:rFonts w:ascii="Inter" w:cs="Inter" w:eastAsia="Inter" w:hAnsi="Inter"/>
          <w:color w:val="222222"/>
          <w:sz w:val="22"/>
          <w:szCs w:val="22"/>
        </w:rPr>
        <w:t xml:space="preserve"> — mira qué comparten y qué es único de cada salida.</w:t>
      </w:r>
    </w:p>
    <w:p>
      <w:pPr>
        <w:spacing w:after="90"/>
        <w:ind w:left="360"/>
      </w:pPr>
      <w:r>
        <w:rPr>
          <w:rFonts w:ascii="Inter" w:cs="Inter" w:eastAsia="Inter" w:hAnsi="Inter"/>
          <w:b/>
          <w:bCs/>
          <w:sz w:val="22"/>
          <w:szCs w:val="22"/>
        </w:rPr>
        <w:t xml:space="preserve">2.  </w:t>
      </w:r>
      <w:r>
        <w:rPr>
          <w:rFonts w:ascii="Inter" w:cs="Inter" w:eastAsia="Inter" w:hAnsi="Inter"/>
          <w:b/>
          <w:bCs/>
          <w:color w:val="222222"/>
          <w:sz w:val="22"/>
          <w:szCs w:val="22"/>
        </w:rPr>
        <w:t xml:space="preserve">P2.1 · Planeador maestro</w:t>
      </w:r>
      <w:r>
        <w:rPr>
          <w:rFonts w:ascii="Inter" w:cs="Inter" w:eastAsia="Inter" w:hAnsi="Inter"/>
          <w:color w:val="222222"/>
          <w:sz w:val="22"/>
          <w:szCs w:val="22"/>
        </w:rPr>
        <w:t xml:space="preserve"> — tu única matriz de planeación.</w:t>
      </w:r>
    </w:p>
    <w:p>
      <w:pPr>
        <w:spacing w:after="90"/>
        <w:ind w:left="360"/>
      </w:pPr>
      <w:r>
        <w:rPr>
          <w:rFonts w:ascii="Inter" w:cs="Inter" w:eastAsia="Inter" w:hAnsi="Inter"/>
          <w:b/>
          <w:bCs/>
          <w:sz w:val="22"/>
          <w:szCs w:val="22"/>
        </w:rPr>
        <w:t xml:space="preserve">3.  </w:t>
      </w:r>
      <w:r>
        <w:rPr>
          <w:rFonts w:ascii="Inter" w:cs="Inter" w:eastAsia="Inter" w:hAnsi="Inter"/>
          <w:b/>
          <w:bCs/>
          <w:color w:val="222222"/>
          <w:sz w:val="22"/>
          <w:szCs w:val="22"/>
        </w:rPr>
        <w:t xml:space="preserve">P2.2 · Banco de DBA 1º-5º</w:t>
      </w:r>
      <w:r>
        <w:rPr>
          <w:rFonts w:ascii="Inter" w:cs="Inter" w:eastAsia="Inter" w:hAnsi="Inter"/>
          <w:color w:val="222222"/>
          <w:sz w:val="22"/>
          <w:szCs w:val="22"/>
        </w:rPr>
        <w:t xml:space="preserve"> — los DBA textuales, citados por área y grado, para copiar sin transcribir (y sin que una IA te los "recuerde" mal).</w:t>
      </w:r>
    </w:p>
    <w:p>
      <w:pPr>
        <w:spacing w:after="90"/>
        <w:ind w:left="360"/>
      </w:pPr>
      <w:r>
        <w:rPr>
          <w:rFonts w:ascii="Inter" w:cs="Inter" w:eastAsia="Inter" w:hAnsi="Inter"/>
          <w:b/>
          <w:bCs/>
          <w:sz w:val="22"/>
          <w:szCs w:val="22"/>
        </w:rPr>
        <w:t xml:space="preserve">4.  </w:t>
      </w:r>
      <w:r>
        <w:rPr>
          <w:rFonts w:ascii="Inter" w:cs="Inter" w:eastAsia="Inter" w:hAnsi="Inter"/>
          <w:b/>
          <w:bCs/>
          <w:color w:val="222222"/>
          <w:sz w:val="22"/>
          <w:szCs w:val="22"/>
        </w:rPr>
        <w:t xml:space="preserve">P2.3 · Las 3 plantillas de salida</w:t>
      </w:r>
      <w:r>
        <w:rPr>
          <w:rFonts w:ascii="Inter" w:cs="Inter" w:eastAsia="Inter" w:hAnsi="Inter"/>
          <w:color w:val="222222"/>
          <w:sz w:val="22"/>
          <w:szCs w:val="22"/>
        </w:rPr>
        <w:t xml:space="preserve"> — plan de área, plan de aula y malla pre-mapeadas al planeador.</w:t>
      </w:r>
    </w:p>
    <w:p>
      <w:pPr>
        <w:spacing w:after="90"/>
        <w:ind w:left="360"/>
      </w:pPr>
      <w:r>
        <w:rPr>
          <w:rFonts w:ascii="Inter" w:cs="Inter" w:eastAsia="Inter" w:hAnsi="Inter"/>
          <w:b/>
          <w:bCs/>
          <w:sz w:val="22"/>
          <w:szCs w:val="22"/>
        </w:rPr>
        <w:t xml:space="preserve">5.  </w:t>
      </w:r>
      <w:r>
        <w:rPr>
          <w:rFonts w:ascii="Inter" w:cs="Inter" w:eastAsia="Inter" w:hAnsi="Inter"/>
          <w:b/>
          <w:bCs/>
          <w:color w:val="222222"/>
          <w:sz w:val="22"/>
          <w:szCs w:val="22"/>
        </w:rPr>
        <w:t xml:space="preserve">P3 · Tres ejemplos completos</w:t>
      </w:r>
      <w:r>
        <w:rPr>
          <w:rFonts w:ascii="Inter" w:cs="Inter" w:eastAsia="Inter" w:hAnsi="Inter"/>
          <w:color w:val="222222"/>
          <w:sz w:val="22"/>
          <w:szCs w:val="22"/>
        </w:rPr>
        <w:t xml:space="preserve"> — urbano, rural Escuela Nueva y con énfasis en inglés.</w:t>
      </w:r>
    </w:p>
    <w:p>
      <w:pPr>
        <w:spacing w:after="90"/>
        <w:ind w:left="360"/>
      </w:pPr>
      <w:r>
        <w:rPr>
          <w:rFonts w:ascii="Inter" w:cs="Inter" w:eastAsia="Inter" w:hAnsi="Inter"/>
          <w:b/>
          <w:bCs/>
          <w:sz w:val="22"/>
          <w:szCs w:val="22"/>
        </w:rPr>
        <w:t xml:space="preserve">6.  </w:t>
      </w:r>
      <w:r>
        <w:rPr>
          <w:rFonts w:ascii="Inter" w:cs="Inter" w:eastAsia="Inter" w:hAnsi="Inter"/>
          <w:b/>
          <w:bCs/>
          <w:color w:val="222222"/>
          <w:sz w:val="22"/>
          <w:szCs w:val="22"/>
        </w:rPr>
        <w:t xml:space="preserve">P4 · Evaluación</w:t>
      </w:r>
      <w:r>
        <w:rPr>
          <w:rFonts w:ascii="Inter" w:cs="Inter" w:eastAsia="Inter" w:hAnsi="Inter"/>
          <w:color w:val="222222"/>
          <w:sz w:val="22"/>
          <w:szCs w:val="22"/>
        </w:rPr>
        <w:t xml:space="preserve"> — rúbricas base por área, lista de cotejo y rúbrica de calidad, con puente a tu SIEE.</w:t>
      </w:r>
    </w:p>
    <w:p>
      <w:pPr>
        <w:spacing w:after="90"/>
        <w:ind w:left="360"/>
      </w:pPr>
      <w:r>
        <w:rPr>
          <w:rFonts w:ascii="Inter" w:cs="Inter" w:eastAsia="Inter" w:hAnsi="Inter"/>
          <w:b/>
          <w:bCs/>
          <w:sz w:val="22"/>
          <w:szCs w:val="22"/>
        </w:rPr>
        <w:t xml:space="preserve">7.  </w:t>
      </w:r>
      <w:r>
        <w:rPr>
          <w:rFonts w:ascii="Inter" w:cs="Inter" w:eastAsia="Inter" w:hAnsi="Inter"/>
          <w:b/>
          <w:bCs/>
          <w:color w:val="222222"/>
          <w:sz w:val="22"/>
          <w:szCs w:val="22"/>
        </w:rPr>
        <w:t xml:space="preserve">P5 · Mini-curso y prompts</w:t>
      </w:r>
      <w:r>
        <w:rPr>
          <w:rFonts w:ascii="Inter" w:cs="Inter" w:eastAsia="Inter" w:hAnsi="Inter"/>
          <w:color w:val="222222"/>
          <w:sz w:val="22"/>
          <w:szCs w:val="22"/>
        </w:rPr>
        <w:t xml:space="preserve"> — el método en 4 lecciones y 8 prompts que trabajan SOBRE el banco citado.</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Este kit está verificado contra los documentos oficiales públicos del MEN, pero no cuenta con aval ni respaldo del Ministerio: las decisiones curriculares son de tu institución y tuyas. Ese es justamente el punto.</w:t>
            </w:r>
          </w:p>
        </w:tc>
      </w:tr>
    </w:tbl>
    <w:p>
      <w:pPr>
        <w:spacing w:after="80"/>
      </w:pPr>
    </w:p>
    <w:sectPr>
      <w:headerReference w:type="default" r:id="rId7"/>
      <w:headerReference w:type="first" r:id="rId8"/>
      <w:pgSz w:w="12240" w:h="15840" w:orient="portrait"/>
      <w:pgMar w:top="12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8" w:space="4"/>
      </w:pBdr>
      <w:tabs>
        <w:tab w:val="right" w:pos="9026"/>
      </w:tabs>
    </w:pP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r>
      <w:rPr>
        <w:rFonts w:ascii="Inter" w:cs="Inter" w:eastAsia="Inter" w:hAnsi="Inter"/>
        <w:b/>
        <w:bCs/>
        <w:color w:val="1A365D"/>
        <w:sz w:val="20"/>
        <w:szCs w:val="20"/>
      </w:rPr>
      <w:t xml:space="preserve">	Guía · Los tres formatos, un solo trabajo · Kit PlanifiKIA Colombia</w:t>
    </w:r>
    <w:r>
      <w:drawing>
        <wp:anchor distT="0" distB="0" distL="0" distR="0" simplePos="0" allowOverlap="1" behindDoc="1" locked="0" layoutInCell="1" relativeHeight="3619500">
          <wp:simplePos x="0" y="0"/>
          <wp:positionH relativeFrom="page">
            <wp:align>center</wp:align>
          </wp:positionH>
          <wp:positionV relativeFrom="page">
            <wp:align>center</wp:align>
          </wp:positionV>
          <wp:extent cx="36195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619500" cy="36195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38009a8e307c28e3e50b84435f5cbffba9402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8009a8e307c28e3e50b84435f5cbffba940235.png"/><Relationship Id="rId1" Type="http://schemas.openxmlformats.org/officeDocument/2006/relationships/image" Target="media/a6fbe362ed419c668850ea72f6bb8d0ea1cf67b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2026-07-19T11:58:21.309Z</dcterms:created>
  <dcterms:modified xsi:type="dcterms:W3CDTF">2026-07-19T11:58:21.309Z</dcterms:modified>
</cp:coreProperties>
</file>

<file path=docProps/custom.xml><?xml version="1.0" encoding="utf-8"?>
<Properties xmlns="http://schemas.openxmlformats.org/officeDocument/2006/custom-properties" xmlns:vt="http://schemas.openxmlformats.org/officeDocument/2006/docPropsVTypes"/>
</file>