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drawing>
          <wp:inline distT="0" distB="0" distL="0" distR="0">
            <wp:extent cx="32385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219200"/>
                    </a:xfrm>
                    <a:prstGeom prst="rect">
                      <a:avLst/>
                    </a:prstGeom>
                  </pic:spPr>
                </pic:pic>
              </a:graphicData>
            </a:graphic>
          </wp:inline>
        </w:drawing>
      </w:r>
    </w:p>
    <w:p>
      <w:pPr>
        <w:spacing w:after="240"/>
        <w:jc w:val="center"/>
      </w:pPr>
      <w:r>
        <w:rPr>
          <w:rFonts w:ascii="Merriweather" w:cs="Merriweather" w:eastAsia="Merriweather" w:hAnsi="Merriweather"/>
          <w:b/>
          <w:bCs/>
          <w:color w:val="1A365D"/>
          <w:sz w:val="48"/>
          <w:szCs w:val="48"/>
        </w:rPr>
        <w:t xml:space="preserve">Ejemplo · Contexto urbano</w:t>
      </w:r>
    </w:p>
    <w:p>
      <w:pPr>
        <w:spacing w:after="900"/>
        <w:jc w:val="center"/>
      </w:pPr>
      <w:r>
        <w:rPr>
          <w:rFonts w:ascii="Inter" w:cs="Inter" w:eastAsia="Inter" w:hAnsi="Inter"/>
          <w:i/>
          <w:iCs/>
          <w:color w:val="5A5A5A"/>
          <w:sz w:val="26"/>
          <w:szCs w:val="26"/>
        </w:rPr>
        <w:t xml:space="preserve">Un planeador → tres formatos · Matemáticas 3º</w:t>
      </w:r>
    </w:p>
    <w:p>
      <w:pPr>
        <w:jc w:val="center"/>
      </w:pPr>
      <w:r>
        <w:rPr>
          <w:rFonts w:ascii="Inter" w:cs="Inter" w:eastAsia="Inter" w:hAnsi="Inter"/>
          <w:b/>
          <w:bCs/>
          <w:color w:val="1A365D"/>
          <w:sz w:val="22"/>
          <w:szCs w:val="22"/>
        </w:rPr>
        <w:t xml:space="preserve">Kit PlanifiKIA edición Colombia · Contenidos transcritos y verificados contra los documentos oficiales públicos</w:t>
      </w:r>
    </w:p>
    <w:p>
      <w:pPr>
        <w:spacing w:before="500"/>
        <w:jc w:val="center"/>
      </w:pPr>
      <w:r>
        <w:rPr>
          <w:rFonts w:ascii="Merriweather" w:cs="Merriweather" w:eastAsia="Merriweather" w:hAnsi="Merriweather"/>
          <w:i/>
          <w:iCs/>
          <w:color w:val="E05A47"/>
          <w:sz w:val="22"/>
          <w:szCs w:val="22"/>
        </w:rPr>
        <w:t xml:space="preserve">Menos desgaste administrativo. Más tiempo para enseñar.</w:t>
      </w:r>
    </w:p>
    <w:p>
      <w:r>
        <w:br w:type="page"/>
      </w:r>
    </w:p>
    <w:p>
      <w:pPr>
        <w:pStyle w:val="Heading1"/>
        <w:spacing w:after="140" w:before="300"/>
      </w:pPr>
      <w:r>
        <w:rPr>
          <w:rFonts w:ascii="Merriweather" w:cs="Merriweather" w:eastAsia="Merriweather" w:hAnsi="Merriweather"/>
          <w:b/>
          <w:bCs/>
          <w:color w:val="1A365D"/>
          <w:sz w:val="28"/>
          <w:szCs w:val="28"/>
        </w:rPr>
        <w:t xml:space="preserve">Ejemplo completo · Contexto urbano</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Institución ficticia pero verosímil. Lo que este ejemplo enseña no es el resultado sino el razonamiento: los recuadros 💭 muestran POR QUÉ la profe decidió así. Los DBA citados son reales, transcritos del banco P2.2 (verificado contra los documentos oficiales públicos).</w:t>
            </w:r>
          </w:p>
        </w:tc>
      </w:tr>
    </w:tbl>
    <w:p>
      <w:pPr>
        <w:spacing w:after="80"/>
      </w:pPr>
    </w:p>
    <w:p>
      <w:pPr>
        <w:spacing w:after="140"/>
      </w:pPr>
      <w:r>
        <w:rPr>
          <w:rFonts w:ascii="Inter" w:cs="Inter" w:eastAsia="Inter" w:hAnsi="Inter"/>
          <w:b/>
          <w:bCs/>
          <w:color w:val="222222"/>
          <w:sz w:val="22"/>
          <w:szCs w:val="22"/>
        </w:rPr>
        <w:t xml:space="preserve">Institución Educativa Antonio Nariño</w:t>
      </w:r>
      <w:r>
        <w:rPr>
          <w:rFonts w:ascii="Inter" w:cs="Inter" w:eastAsia="Inter" w:hAnsi="Inter"/>
          <w:color w:val="222222"/>
          <w:sz w:val="22"/>
          <w:szCs w:val="22"/>
        </w:rPr>
        <w:t xml:space="preserve"> · ciudad intermedia del Eje Cafetero · calendario A · sede principal, un grupo por grado · Profe Diana, 3º de primaria, matemáticas · 4 periodos · PEI con enfoque de resolución de problemas · SIEE con escala Superior / Alto / Básico / Bajo.</w:t>
      </w:r>
    </w:p>
    <w:p>
      <w:pPr>
        <w:pStyle w:val="Heading1"/>
        <w:spacing w:after="140" w:before="300"/>
      </w:pPr>
      <w:r>
        <w:rPr>
          <w:rFonts w:ascii="Merriweather" w:cs="Merriweather" w:eastAsia="Merriweather" w:hAnsi="Merriweather"/>
          <w:b/>
          <w:bCs/>
          <w:color w:val="1A365D"/>
          <w:sz w:val="28"/>
          <w:szCs w:val="28"/>
        </w:rPr>
        <w:t xml:space="preserve">Paso 1 · El planeador maestro (periodo 3)</w:t>
      </w:r>
    </w:p>
    <w:p>
      <w:pPr>
        <w:pStyle w:val="Heading2"/>
        <w:spacing w:after="140" w:before="220"/>
      </w:pPr>
      <w:r>
        <w:rPr>
          <w:rFonts w:ascii="Merriweather" w:cs="Merriweather" w:eastAsia="Merriweather" w:hAnsi="Merriweather"/>
          <w:b/>
          <w:bCs/>
          <w:color w:val="D4AF37"/>
          <w:sz w:val="24"/>
          <w:szCs w:val="24"/>
        </w:rPr>
        <w:t xml:space="preserve">Datos de contexto</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Grado 3º, matemáticas, periodo 3 (julio-septiembre, calendario A).</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Enfoque PEI activado: resolución de problemas en contextos cercanos.</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Escala SIEE: Superior / Alto / Básico / Bajo · Revisión: semana institucional de octubre.</w:t>
      </w:r>
    </w:p>
    <w:p>
      <w:pPr>
        <w:pStyle w:val="Heading2"/>
        <w:spacing w:after="140" w:before="220"/>
      </w:pPr>
      <w:r>
        <w:rPr>
          <w:rFonts w:ascii="Merriweather" w:cs="Merriweather" w:eastAsia="Merriweather" w:hAnsi="Merriweather"/>
          <w:b/>
          <w:bCs/>
          <w:color w:val="D4AF37"/>
          <w:sz w:val="24"/>
          <w:szCs w:val="24"/>
        </w:rPr>
        <w:t xml:space="preserve">Fila del planeador · DBA 5 de Matemáticas 3º</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4680"/>
        <w:gridCol w:w="4680"/>
      </w:tblGrid>
      <w:tr>
        <w:trPr>
          <w:tblHeader/>
        </w:trPr>
        <w:tc>
          <w:tcPr>
            <w:tcW w:type="dxa" w:w="468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Campo</w:t>
            </w:r>
          </w:p>
        </w:tc>
        <w:tc>
          <w:tcPr>
            <w:tcW w:type="dxa" w:w="4680"/>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Lo que escribió la profe Diana</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DBA citado</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Matemáticas · 3º · DBA 5: "Realiza estimaciones y mediciones de volumen, capacidad, longitud, área, peso de objetos o la duración de eventos como parte del proceso para resolver diferentes problemas."</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¿Por qué este DBA ahora?</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En el periodo 2 el grupo consolidó comparaciones aditivas y multiplicativas (DBA 1 y 3); la medición les da contexto real. Además el periodo coincide con la feria escolar: habrá puestos de venta reales para medir, pesar y empacar.</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Evidencias del DBA priorizadas</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"Hace estimaciones de longitud, área, volumen, peso y tiempo según su necesidad en la situación" y "Empaca objetos en cajas y recipientes variados y calcula la cantidad que podría caber…"</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Evidencia observable en mi grupo</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Cada estudiante estima y verifica medidas reales de productos de la tienda escolar y decide empaques para la feria, explicando su razonamiento.</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Estrategias</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Proyecto "La tienda de la feria": visita a la tienda de barrio vecina; estación de estimación (¿cuánto pesa? ¿cuántos caben?); el reto del empacador (ver abajo); registro en el cuaderno de medidas.</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Recursos</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Balanza de cocina prestada, cajas recicladas, frascos, cinta métrica, productos de la tienda escolar. Sin internet: todo presencial.</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Evaluación (puente SIEE)</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Rúbrica base del DBA 5 (la muestra patrón de P4.1), con la escala Superior/Alto/Básico/Bajo de la institución.</w:t>
            </w:r>
          </w:p>
        </w:tc>
      </w:tr>
      <w:tr>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Ajustes por ritmos</w:t>
            </w:r>
          </w:p>
        </w:tc>
        <w:tc>
          <w:tcPr>
            <w:tcW w:type="dxa" w:w="4680"/>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Quienes ya estiman con precisión pasan a estimar SIN el objeto presente (evidencia 3 del DBA); quienes necesitan apoyo trabajan con comparación directa de objetos.</w:t>
            </w:r>
          </w:p>
        </w:tc>
      </w:tr>
    </w:tbl>
    <w:p>
      <w:pPr>
        <w:spacing w:after="80"/>
      </w:pP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Por qué así: la justificación de secuencia no menciona "porque sigue el 5 después del 4" — menciona saberes previos y calendario. Y la actividad estrella no es inventada: es la adaptación del propio ejemplo del DBA (el problema del empacador de frascos: frascos de 8 cm de diámetro y 15 cm de alto, elegir la caja adecuada, 50 frascos por peso) al contexto de la feria escolar. El documento oficial ya trae ideas — el kit te enseña a usarlas.</w:t>
            </w:r>
          </w:p>
        </w:tc>
      </w:tr>
    </w:tbl>
    <w:p>
      <w:pPr>
        <w:spacing w:after="80"/>
      </w:pPr>
    </w:p>
    <w:p>
      <w:pPr>
        <w:pStyle w:val="Heading1"/>
        <w:spacing w:after="140" w:before="300"/>
      </w:pPr>
      <w:r>
        <w:rPr>
          <w:rFonts w:ascii="Merriweather" w:cs="Merriweather" w:eastAsia="Merriweather" w:hAnsi="Merriweather"/>
          <w:b/>
          <w:bCs/>
          <w:color w:val="1A365D"/>
          <w:sz w:val="28"/>
          <w:szCs w:val="28"/>
        </w:rPr>
        <w:t xml:space="preserve">Paso 2 · Las tres salidas derivadas</w:t>
      </w:r>
    </w:p>
    <w:p>
      <w:pPr>
        <w:pStyle w:val="Heading2"/>
        <w:spacing w:after="140" w:before="220"/>
      </w:pPr>
      <w:r>
        <w:rPr>
          <w:rFonts w:ascii="Merriweather" w:cs="Merriweather" w:eastAsia="Merriweather" w:hAnsi="Merriweather"/>
          <w:b/>
          <w:bCs/>
          <w:color w:val="D4AF37"/>
          <w:sz w:val="24"/>
          <w:szCs w:val="24"/>
        </w:rPr>
        <w:t xml:space="preserve">Salida A · Plan de área (fragmento del periodo 3)</w:t>
      </w:r>
    </w:p>
    <w:p>
      <w:pPr>
        <w:spacing w:after="140"/>
      </w:pPr>
      <w:r>
        <w:rPr>
          <w:rFonts w:ascii="Inter" w:cs="Inter" w:eastAsia="Inter" w:hAnsi="Inter"/>
          <w:color w:val="222222"/>
          <w:sz w:val="22"/>
          <w:szCs w:val="22"/>
        </w:rPr>
        <w:t xml:space="preserve">Área: Matemáticas · Grado: 3º · Periodo 3. DBA del periodo: DBA 5 (citado textual arriba). Justificación de secuencia: consolidadas las estructuras aditivas y multiplicativas (P1-P2), la medición aporta el contexto de aplicación que el enfoque de resolución de problemas del PEI exige; la feria escolar de septiembre ofrece el escenario real. Articulación EBC: ruta anual hacia el pensamiento métrico del grupo de grados 1º-3º. Evaluación: rúbrica por evidencias del DBA, escala institucional.</w:t>
      </w:r>
    </w:p>
    <w:p>
      <w:pPr>
        <w:pStyle w:val="Heading2"/>
        <w:spacing w:after="140" w:before="220"/>
      </w:pPr>
      <w:r>
        <w:rPr>
          <w:rFonts w:ascii="Merriweather" w:cs="Merriweather" w:eastAsia="Merriweather" w:hAnsi="Merriweather"/>
          <w:b/>
          <w:bCs/>
          <w:color w:val="D4AF37"/>
          <w:sz w:val="24"/>
          <w:szCs w:val="24"/>
        </w:rPr>
        <w:t xml:space="preserve">Salida B · Plan de aula / parcelador (semanas 1-3 del periodo)</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Semana 1: ¿Qué tan largo, qué tan pesado? — estaciones de comparación y estimación con productos de la tienda escolar (evidencias 1 y 2 del DBA 5).</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Semana 2: visita a la tienda de barrio: registro de medidas y pesos reales; comparación estimado vs. medido.</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Semana 3: el reto del empacador de la feria: ¿qué caja conviene? ¿cuántos caben por peso? (evidencia 4 del DBA 5).</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Evaluación de la ventana: observación con la rúbrica del DBA 5, filas 1-2.</w:t>
      </w:r>
    </w:p>
    <w:p>
      <w:pPr>
        <w:pStyle w:val="Heading2"/>
        <w:spacing w:after="140" w:before="220"/>
      </w:pPr>
      <w:r>
        <w:rPr>
          <w:rFonts w:ascii="Merriweather" w:cs="Merriweather" w:eastAsia="Merriweather" w:hAnsi="Merriweather"/>
          <w:b/>
          <w:bCs/>
          <w:color w:val="D4AF37"/>
          <w:sz w:val="24"/>
          <w:szCs w:val="24"/>
        </w:rPr>
        <w:t xml:space="preserve">Salida C · Malla curricular (fila del periodo 3)</w:t>
      </w:r>
    </w:p>
    <w:tbl>
      <w:tblPr>
        <w:tblW w:type="dxa" w:w="9360"/>
        <w:tblBorders>
          <w:top w:val="single" w:color="BBBBBB" w:sz="4"/>
          <w:left w:val="single" w:color="BBBBBB" w:sz="4"/>
          <w:bottom w:val="single" w:color="BBBBBB" w:sz="4"/>
          <w:right w:val="single" w:color="BBBBBB" w:sz="4"/>
          <w:insideH w:val="single" w:color="DDDDDD" w:sz="4"/>
          <w:insideV w:val="single" w:color="DDDDDD" w:sz="4"/>
        </w:tblBorders>
      </w:tblPr>
      <w:tblGrid>
        <w:gridCol w:w="1872"/>
        <w:gridCol w:w="1872"/>
        <w:gridCol w:w="1872"/>
        <w:gridCol w:w="1872"/>
        <w:gridCol w:w="1872"/>
      </w:tblGrid>
      <w:tr>
        <w:trPr>
          <w:tblHeader/>
        </w:trPr>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Periodo</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DBA</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Evidencias clave</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Estrategia central</w:t>
            </w:r>
          </w:p>
        </w:tc>
        <w:tc>
          <w:tcPr>
            <w:tcW w:type="dxa" w:w="1872"/>
            <w:shd w:fill="1A365D" w:val="clear"/>
            <w:tcMar>
              <w:top w:type="dxa" w:w="60"/>
              <w:left w:type="dxa" w:w="80"/>
              <w:bottom w:type="dxa" w:w="60"/>
              <w:right w:type="dxa" w:w="80"/>
            </w:tcMar>
          </w:tcPr>
          <w:p>
            <w:pPr>
              <w:spacing w:after="0"/>
            </w:pPr>
            <w:r>
              <w:rPr>
                <w:rFonts w:ascii="Inter" w:cs="Inter" w:eastAsia="Inter" w:hAnsi="Inter"/>
                <w:b/>
                <w:bCs/>
                <w:color w:val="FFFFFF"/>
                <w:sz w:val="18"/>
                <w:szCs w:val="18"/>
              </w:rPr>
              <w:t xml:space="preserve">Evaluación</w:t>
            </w:r>
          </w:p>
        </w:tc>
      </w:tr>
      <w:tr>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3º</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Mat 3º · DBA 5 (estimaciones y mediciones)</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Estima según la situación; empaca calculando forma/volumen/capacidad</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Proyecto "La tienda de la feria"</w:t>
            </w:r>
          </w:p>
        </w:tc>
        <w:tc>
          <w:tcPr>
            <w:tcW w:type="dxa" w:w="1872"/>
            <w:tcMar>
              <w:top w:type="dxa" w:w="60"/>
              <w:left w:type="dxa" w:w="80"/>
              <w:bottom w:type="dxa" w:w="60"/>
              <w:right w:type="dxa" w:w="80"/>
            </w:tcMar>
          </w:tcPr>
          <w:p>
            <w:pPr>
              <w:spacing w:after="0"/>
            </w:pPr>
            <w:r>
              <w:rPr>
                <w:rFonts w:ascii="Inter" w:cs="Inter" w:eastAsia="Inter" w:hAnsi="Inter"/>
                <w:b w:val="false"/>
                <w:bCs w:val="false"/>
                <w:color w:val="222222"/>
                <w:sz w:val="18"/>
                <w:szCs w:val="18"/>
              </w:rPr>
              <w:t xml:space="preserve">Rúbrica DBA 5 · escala SIEE</w:t>
            </w:r>
          </w:p>
        </w:tc>
      </w:tr>
    </w:tbl>
    <w:p>
      <w:pPr>
        <w:spacing w:after="80"/>
      </w:pP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Por qué así: mira la trazabilidad — la malla dice DBA 5, el plan de área justifica el DBA 5, el parcelador operacionaliza las evidencias del DBA 5. Un coordinador rastrea la coherencia en un minuto. Nada se escribió dos veces: cada salida tomó su parte del planeador.</w:t>
            </w:r>
          </w:p>
        </w:tc>
      </w:tr>
    </w:tbl>
    <w:p>
      <w:pPr>
        <w:spacing w:after="80"/>
      </w:pPr>
    </w:p>
    <w:p>
      <w:pPr>
        <w:pStyle w:val="Heading1"/>
        <w:spacing w:after="140" w:before="300"/>
      </w:pPr>
      <w:r>
        <w:rPr>
          <w:rFonts w:ascii="Merriweather" w:cs="Merriweather" w:eastAsia="Merriweather" w:hAnsi="Merriweather"/>
          <w:b/>
          <w:bCs/>
          <w:color w:val="1A365D"/>
          <w:sz w:val="28"/>
          <w:szCs w:val="28"/>
        </w:rPr>
        <w:t xml:space="preserve">Paso 3 · Lo que la profe Diana NO hizo (y tú tampoco tienes que hacer)</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 transcribió el DBA tres veces: lo citó una vez en el planeador y lo pegó.</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 siguió la numeración por inercia: en su año, el DBA 5 llegó en el periodo 3 por razones pedagógicas, y lo dejó por escrito.</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 inventó descriptores de evaluación: gradúo las evidencias del propio DBA.</w:t>
      </w:r>
    </w:p>
    <w:p>
      <w:pPr>
        <w:spacing w:after="90"/>
        <w:ind w:left="360"/>
      </w:pPr>
      <w:r>
        <w:rPr>
          <w:rFonts w:ascii="Inter" w:cs="Inter" w:eastAsia="Inter" w:hAnsi="Inter"/>
          <w:sz w:val="22"/>
          <w:szCs w:val="22"/>
        </w:rPr>
        <w:t xml:space="preserve">•  </w:t>
      </w:r>
      <w:r>
        <w:rPr>
          <w:rFonts w:ascii="Inter" w:cs="Inter" w:eastAsia="Inter" w:hAnsi="Inter"/>
          <w:color w:val="222222"/>
          <w:sz w:val="22"/>
          <w:szCs w:val="22"/>
        </w:rPr>
        <w:t xml:space="preserve">No usó una escala de valoración ajena: la columna de escala salió de su SIEE.</w:t>
      </w:r>
    </w:p>
    <w:tbl>
      <w:tblPr>
        <w:tblW w:type="dxa" w:w="9360"/>
        <w:tblBorders>
          <w:top w:val="single" w:color="D4AF37" w:sz="4"/>
          <w:left w:val="single" w:color="D4AF37" w:sz="16"/>
          <w:bottom w:val="single" w:color="D4AF37" w:sz="4"/>
          <w:right w:val="none"/>
          <w:insideH w:val="none"/>
          <w:insideV w:val="none"/>
        </w:tblBorders>
      </w:tblPr>
      <w:tblGrid>
        <w:gridCol w:w="9360"/>
      </w:tblGrid>
      <w:tr>
        <w:tc>
          <w:tcPr>
            <w:tcW w:type="dxa" w:w="9360"/>
            <w:shd w:fill="F8F9FA" w:val="clear"/>
            <w:tcMar>
              <w:top w:type="dxa" w:w="100"/>
              <w:left w:type="dxa" w:w="140"/>
              <w:bottom w:type="dxa" w:w="100"/>
              <w:right w:type="dxa" w:w="140"/>
            </w:tcMar>
          </w:tcPr>
          <w:p>
            <w:pPr>
              <w:spacing w:after="0"/>
            </w:pPr>
            <w:r>
              <w:rPr>
                <w:rFonts w:ascii="Inter" w:cs="Inter" w:eastAsia="Inter" w:hAnsi="Inter"/>
                <w:color w:val="222222"/>
                <w:sz w:val="20"/>
                <w:szCs w:val="20"/>
              </w:rPr>
              <w:t xml:space="preserve">📌 Contenidos verificados contra los documentos oficiales públicos del MEN. Las decisiones pedagógicas del ejemplo son ilustrativas: las tuyas saldrán de TU contexto — ese es el método.</w:t>
            </w:r>
          </w:p>
        </w:tc>
      </w:tr>
    </w:tbl>
    <w:p>
      <w:pPr>
        <w:spacing w:after="80"/>
      </w:pPr>
    </w:p>
    <w:sectPr>
      <w:headerReference w:type="default" r:id="rId7"/>
      <w:headerReference w:type="first" r:id="rId8"/>
      <w:pgSz w:w="12240" w:h="15840" w:orient="portrait"/>
      <w:pgMar w:top="12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8" w:space="4"/>
      </w:pBdr>
      <w:tabs>
        <w:tab w:val="right" w:pos="9026"/>
      </w:tabs>
    </w:pPr>
    <w:r>
      <w:drawing>
        <wp:inline distT="0" distB="0" distL="0" distR="0">
          <wp:extent cx="9144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342900"/>
                  </a:xfrm>
                  <a:prstGeom prst="rect">
                    <a:avLst/>
                  </a:prstGeom>
                </pic:spPr>
              </pic:pic>
            </a:graphicData>
          </a:graphic>
        </wp:inline>
      </w:drawing>
    </w:r>
    <w:r>
      <w:rPr>
        <w:rFonts w:ascii="Inter" w:cs="Inter" w:eastAsia="Inter" w:hAnsi="Inter"/>
        <w:b/>
        <w:bCs/>
        <w:color w:val="1A365D"/>
        <w:sz w:val="20"/>
        <w:szCs w:val="20"/>
      </w:rPr>
      <w:t xml:space="preserve">	Ejemplo · Contexto urbano · Kit PlanifiKIA Colombia</w:t>
    </w:r>
    <w:r>
      <w:drawing>
        <wp:anchor distT="0" distB="0" distL="0" distR="0" simplePos="0" allowOverlap="1" behindDoc="1" locked="0" layoutInCell="1" relativeHeight="3619500">
          <wp:simplePos x="0" y="0"/>
          <wp:positionH relativeFrom="page">
            <wp:align>center</wp:align>
          </wp:positionH>
          <wp:positionV relativeFrom="page">
            <wp:align>center</wp:align>
          </wp:positionV>
          <wp:extent cx="3619500" cy="3619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3619500" cy="36195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a38009a8e307c28e3e50b84435f5cbffba94023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38009a8e307c28e3e50b84435f5cbffba940235.png"/><Relationship Id="rId1" Type="http://schemas.openxmlformats.org/officeDocument/2006/relationships/image" Target="media/a6fbe362ed419c668850ea72f6bb8d0ea1cf67b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2026-07-19T11:58:21.692Z</dcterms:created>
  <dcterms:modified xsi:type="dcterms:W3CDTF">2026-07-19T11:58:21.692Z</dcterms:modified>
</cp:coreProperties>
</file>

<file path=docProps/custom.xml><?xml version="1.0" encoding="utf-8"?>
<Properties xmlns="http://schemas.openxmlformats.org/officeDocument/2006/custom-properties" xmlns:vt="http://schemas.openxmlformats.org/officeDocument/2006/docPropsVTypes"/>
</file>