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Presentación al consejo académico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10 láminas: el argumento normativo del planeador único institucional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Planear una vez, entregar los tres formatos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6"/>
          <w:szCs w:val="26"/>
        </w:rPr>
        <w:t xml:space="preserve">Propuesta al consejo académico · Planeador maestro institucional</w:t>
      </w:r>
    </w:p>
    <w:p>
      <w:pPr>
        <w:spacing w:after="140"/>
      </w:pPr>
      <w:r>
        <w:rPr>
          <w:rFonts w:ascii="Inter" w:cs="Inter" w:eastAsia="Inter" w:hAnsi="Inter"/>
          <w:color w:val="222222"/>
          <w:sz w:val="26"/>
          <w:szCs w:val="26"/>
        </w:rPr>
        <w:t xml:space="preserve">Institución: ____ · Presenta: ____ · Fecha: ____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El problema que todos conocemos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Cada docente entrega plan de área, plan de aula y malla — tres formatos, tres plantillas.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~70% del contenido se repite entre los tres (DBA, evidencias, secuencia).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Las incoherencias entre formatos consumen las devoluciones de coordinación.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Horas de trabajo no reconocido que no mejoran ningún aprendizaje.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Lo que dice la norma (verificado contra los documentos oficiales)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Los DBA no prescriben ni exigen ningún formato de plan de área, plan de aula o malla.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Los formatos los define cada institución "en el marco de los PEI materializados en los planes de área y de aula".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Los DBA "no constituyen una propuesta curricular" por sí solos: son referentes flexibles.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Conclusión: el triple formato es una decisión NUESTRA — y podemos rediseñarla.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La propuesta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Un PLANEADOR MAESTRO único por docente/área/grado: DBA citado + evidencias + secuencia justificada + estrategias + evaluación SIEE.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Las tres salidas se DERIVAN del planeador: cada formato toma su parte.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Regla de oro: si no está en el planeador, no está en ningún formato.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Qué gana la institución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Coherencia estructural: los tres formatos citan los mismos DBA — revisión en minutos.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Trazabilidad normativa: cada unidad se rastrea al DBA textual del documento oficial.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Evaluación articulada al SIEE: rúbricas construidas desde las evidencias del DBA con NUESTRA escala.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Tiempo docente recuperado para lo que sí mejora aprendizajes.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Qué gana cada docente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Planea una vez; el formato deja de ser trabajo pedagógico adicional.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La justificación de secuencia la protege en cualquier revisión.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El banco de DBA transcrito elimina la transcripción manual (y sus errores).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Menos desgaste administrativo. Más tiempo para enseñar.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Cómo se implementa (propuesta gradual)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Fase 1 (este periodo): pilotaje voluntario — 2 o 3 docentes usan el planeador y derivan sus formatos.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Fase 2 (semana institucional): el consejo revisa los pilotos con la rúbrica de calidad de la planeación.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Fase 3 (próximo periodo): adopción por áreas, ajustando las plantillas a nuestro PEI.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Sin big bang: los formatos actuales siguen valiendo — solo cambia cómo se producen.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El puente con nuestro SIEE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Las evidencias de cada DBA son "indicios observables de logro" → filas de rúbrica naturales.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La escala de valoración es la NUESTRA (autonomía del Decreto 1290).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Comisiones y boletines reciben criterios rastreables al documento oficial.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Nota de cuidado: en transición los DBA no son logros a evaluar — allí se planean experiencias y ambientes, no rúbricas.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Lo que necesitamos decidir hoy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¿Aprobamos el pilotaje voluntario del planeador maestro?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¿Quiénes pilotean y en qué áreas/grados?</w:t>
      </w:r>
    </w:p>
    <w:p>
      <w:pPr>
        <w:spacing w:after="90"/>
        <w:ind w:left="360"/>
      </w:pPr>
      <w:r>
        <w:rPr>
          <w:rFonts w:ascii="Inter" w:cs="Inter" w:eastAsia="Inter" w:hAnsi="Inter"/>
          <w:sz w:val="28"/>
          <w:szCs w:val="28"/>
        </w:rPr>
        <w:t xml:space="preserve">•  </w:t>
      </w:r>
      <w:r>
        <w:rPr>
          <w:rFonts w:ascii="Inter" w:cs="Inter" w:eastAsia="Inter" w:hAnsi="Inter"/>
          <w:color w:val="222222"/>
          <w:sz w:val="28"/>
          <w:szCs w:val="28"/>
        </w:rPr>
        <w:t xml:space="preserve">¿Fecha de revisión en consejo (con la rúbrica de calidad)?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Cierre</w:t>
      </w:r>
    </w:p>
    <w:p>
      <w:pPr>
        <w:spacing w:after="140"/>
      </w:pPr>
      <w:r>
        <w:rPr>
          <w:rFonts w:ascii="Inter" w:cs="Inter" w:eastAsia="Inter" w:hAnsi="Inter"/>
          <w:color w:val="222222"/>
          <w:sz w:val="26"/>
          <w:szCs w:val="26"/>
        </w:rPr>
        <w:t xml:space="preserve">El MEN pide el aprendizaje, no el formato. La coherencia no se exige — se diseña.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6"/>
          <w:szCs w:val="26"/>
        </w:rPr>
        <w:t xml:space="preserve">Planear una vez. Entregar los tres formatos. Enseñar más.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Presentación al consejo académico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2026-07-19T11:58:22.010Z</dcterms:created>
  <dcterms:modified xsi:type="dcterms:W3CDTF">2026-07-19T11:58:22.010Z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