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Mapa de los 3 formatos</w:t>
      </w:r>
    </w:p>
    <w:p>
      <w:pPr>
        <w:spacing w:after="900"/>
        <w:jc w:val="center"/>
      </w:pPr>
      <w:r>
        <w:rPr>
          <w:rFonts w:ascii="Inter" w:cs="Inter" w:eastAsia="Inter" w:hAnsi="Inter"/>
          <w:i/>
          <w:iCs/>
          <w:color w:val="5A5A5A"/>
          <w:sz w:val="26"/>
          <w:szCs w:val="26"/>
        </w:rPr>
        <w:t xml:space="preserve">Plan de área, plan de aula y malla: qué comparten, qué es único</w:t>
      </w:r>
    </w:p>
    <w:p>
      <w:pPr>
        <w:jc w:val="center"/>
      </w:pPr>
      <w:r>
        <w:rPr>
          <w:rFonts w:ascii="Inter" w:cs="Inter" w:eastAsia="Inter" w:hAnsi="Inter"/>
          <w:b/>
          <w:bCs/>
          <w:color w:val="1A365D"/>
          <w:sz w:val="22"/>
          <w:szCs w:val="22"/>
        </w:rPr>
        <w:t xml:space="preserve">Kit PlanifiKIA edición Colombia · Contenidos transcritos y verificados contra los documentos oficiales públicos</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1"/>
        <w:spacing w:after="140" w:before="300"/>
      </w:pPr>
      <w:r>
        <w:rPr>
          <w:rFonts w:ascii="Merriweather" w:cs="Merriweather" w:eastAsia="Merriweather" w:hAnsi="Merriweather"/>
          <w:b/>
          <w:bCs/>
          <w:color w:val="1A365D"/>
          <w:sz w:val="28"/>
          <w:szCs w:val="28"/>
        </w:rPr>
        <w:t xml:space="preserve">El mapa de los 3 formatos: qué comparten, qué es único</w:t>
      </w:r>
    </w:p>
    <w:p>
      <w:pPr>
        <w:spacing w:after="140"/>
      </w:pPr>
      <w:r>
        <w:rPr>
          <w:rFonts w:ascii="Inter" w:cs="Inter" w:eastAsia="Inter" w:hAnsi="Inter"/>
          <w:color w:val="222222"/>
          <w:sz w:val="22"/>
          <w:szCs w:val="22"/>
        </w:rPr>
        <w:t xml:space="preserve">Antes de eliminar el triple trabajo hay que </w:t>
      </w:r>
      <w:r>
        <w:rPr>
          <w:rFonts w:ascii="Inter" w:cs="Inter" w:eastAsia="Inter" w:hAnsi="Inter"/>
          <w:i/>
          <w:iCs/>
          <w:color w:val="444444"/>
          <w:sz w:val="22"/>
          <w:szCs w:val="22"/>
        </w:rPr>
        <w:t xml:space="preserve">verlo</w:t>
      </w:r>
      <w:r>
        <w:rPr>
          <w:rFonts w:ascii="Inter" w:cs="Inter" w:eastAsia="Inter" w:hAnsi="Inter"/>
          <w:color w:val="222222"/>
          <w:sz w:val="22"/>
          <w:szCs w:val="22"/>
        </w:rPr>
        <w:t xml:space="preserve">. Este mapa pone lado a lado los tres formatos que las instituciones colombianas suelen pedir. Ninguno de los tres viene prescrito por los documentos oficiales de los DBA — cada institución define los suyos en el marco de su PEI. Por eso los nombres y las columnas exactas varían de colegio en colegio; la estructura de fondo, no.</w:t>
      </w:r>
    </w:p>
    <w:p>
      <w:pPr>
        <w:pStyle w:val="Heading2"/>
        <w:spacing w:after="140" w:before="220"/>
      </w:pPr>
      <w:r>
        <w:rPr>
          <w:rFonts w:ascii="Merriweather" w:cs="Merriweather" w:eastAsia="Merriweather" w:hAnsi="Merriweather"/>
          <w:b/>
          <w:bCs/>
          <w:color w:val="D4AF37"/>
          <w:sz w:val="24"/>
          <w:szCs w:val="24"/>
        </w:rPr>
        <w:t xml:space="preserve">Lo que los tres comparten (el núcleo)</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4680"/>
        <w:gridCol w:w="4680"/>
      </w:tblGrid>
      <w:tr>
        <w:trPr>
          <w:tblHeader/>
        </w:trPr>
        <w:tc>
          <w:tcPr>
            <w:tcW w:type="dxa" w:w="468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Elemento común</w:t>
            </w:r>
          </w:p>
        </w:tc>
        <w:tc>
          <w:tcPr>
            <w:tcW w:type="dxa" w:w="468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De dónde sale</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El DBA citado (área, grado, número, enunciado)</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Banco P2.2 → planeador maestro</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Las evidencias de aprendizaje del DBA</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Banco P2.2 → planeador maestro</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La secuencia por periodos y su justificación</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Decisión tuya, registrada en el planeador</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La articulación con PEI y SIEE</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Campos de contexto del planeador</w:t>
            </w:r>
          </w:p>
        </w:tc>
      </w:tr>
    </w:tbl>
    <w:p>
      <w:pPr>
        <w:spacing w:after="80"/>
      </w:pP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Ese núcleo compartido es ~70% de cada formato. Si lo escribes tres veces, estás haciendo tres veces el mismo trabajo. Si vive en el planeador maestro, se escribe una vez y se pega tres.</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Lo que es único de cada salida</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2340"/>
        <w:gridCol w:w="2340"/>
        <w:gridCol w:w="2340"/>
        <w:gridCol w:w="2340"/>
      </w:tblGrid>
      <w:tr>
        <w:trPr>
          <w:tblHeader/>
        </w:trPr>
        <w:tc>
          <w:tcPr>
            <w:tcW w:type="dxa" w:w="2340"/>
            <w:shd w:fill="1A365D" w:val="clear"/>
            <w:tcMar>
              <w:top w:type="dxa" w:w="60"/>
              <w:left w:type="dxa" w:w="80"/>
              <w:bottom w:type="dxa" w:w="60"/>
              <w:right w:type="dxa" w:w="80"/>
            </w:tcMar>
          </w:tcPr>
          <w:p>
            <w:pPr>
              <w:spacing w:after="0"/>
            </w:pPr>
          </w:p>
        </w:tc>
        <w:tc>
          <w:tcPr>
            <w:tcW w:type="dxa" w:w="234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Plan de área</w:t>
            </w:r>
          </w:p>
        </w:tc>
        <w:tc>
          <w:tcPr>
            <w:tcW w:type="dxa" w:w="234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Plan de aula ("parcelador")</w:t>
            </w:r>
          </w:p>
        </w:tc>
        <w:tc>
          <w:tcPr>
            <w:tcW w:type="dxa" w:w="234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Malla curricular</w:t>
            </w:r>
          </w:p>
        </w:tc>
      </w:tr>
      <w:tr>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Pregunta que responde</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¿Qué aprenderá el grado este año y por qué en ese orden?</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¿Qué haremos estas semanas en mi grupo?</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¿Cómo se ve todo el año de un vistazo?</w:t>
            </w:r>
          </w:p>
        </w:tc>
      </w:tr>
      <w:tr>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Horizonte</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Anual, por grado y área</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Semanas / periodo en curso</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Anual, panorámico (grados × periodos)</w:t>
            </w:r>
          </w:p>
        </w:tc>
      </w:tr>
      <w:tr>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Quién lo lee</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Consejo académico, coordinación</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Tú (y quien te reemplace)</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Coordinación, visitas, pares</w:t>
            </w:r>
          </w:p>
        </w:tc>
      </w:tr>
      <w:tr>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Lo único suyo</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Justificación de secuencia, metas del área, articulación EBC/PEI</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Actividades concretas, tiempos, recursos, ajustes por ritmos</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La cuadrícula: distribución de DBA por periodo</w:t>
            </w:r>
          </w:p>
        </w:tc>
      </w:tr>
      <w:tr>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Nivel de detalle</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Medio</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Alto (lo operativo)</w:t>
            </w:r>
          </w:p>
        </w:tc>
        <w:tc>
          <w:tcPr>
            <w:tcW w:type="dxa" w:w="234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Bajo (lo estructural)</w:t>
            </w:r>
          </w:p>
        </w:tc>
      </w:tr>
    </w:tbl>
    <w:p>
      <w:pPr>
        <w:spacing w:after="80"/>
      </w:pPr>
    </w:p>
    <w:p>
      <w:pPr>
        <w:pStyle w:val="Heading2"/>
        <w:spacing w:after="140" w:before="220"/>
      </w:pPr>
      <w:r>
        <w:rPr>
          <w:rFonts w:ascii="Merriweather" w:cs="Merriweather" w:eastAsia="Merriweather" w:hAnsi="Merriweather"/>
          <w:b/>
          <w:bCs/>
          <w:color w:val="D4AF37"/>
          <w:sz w:val="24"/>
          <w:szCs w:val="24"/>
        </w:rPr>
        <w:t xml:space="preserve">🧠 Rutina Compara-Contrasta (hazla con los formatos de TU institución)</w:t>
      </w:r>
    </w:p>
    <w:p>
      <w:pPr>
        <w:spacing w:after="140"/>
      </w:pPr>
      <w:r>
        <w:rPr>
          <w:rFonts w:ascii="Inter" w:cs="Inter" w:eastAsia="Inter" w:hAnsi="Inter"/>
          <w:color w:val="222222"/>
          <w:sz w:val="22"/>
          <w:szCs w:val="22"/>
        </w:rPr>
        <w:t xml:space="preserve">Toma los formatos que TU colegio pide y marca con tres colores:</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Verde — lo que aparece en los tres (el núcleo: DBA, evidencias, secuencia).</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Amarillo — lo que aparece en dos.</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Rojo — lo que es único de uno solo.</w:t>
      </w:r>
    </w:p>
    <w:p>
      <w:pPr>
        <w:spacing w:after="140"/>
      </w:pPr>
      <w:r>
        <w:rPr>
          <w:rFonts w:ascii="Inter" w:cs="Inter" w:eastAsia="Inter" w:hAnsi="Inter"/>
          <w:color w:val="222222"/>
          <w:sz w:val="22"/>
          <w:szCs w:val="22"/>
        </w:rPr>
        <w:t xml:space="preserve">Lo verde va al planeador maestro y se escribe UNA vez. Lo rojo es lo único que cada formato te pide de verdad. La mayoría de las profes descubren que llevan años triplicando lo verde.</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Si un elemento está en la malla pero no se rastrea al planeador, la pregunta correcta no es "¿cómo lo lleno?" sino "¿por qué está ahí?". La rutina de trazabilidad de P2.3 vive de esta idea.</w:t>
            </w:r>
          </w:p>
        </w:tc>
      </w:tr>
    </w:tbl>
    <w:p>
      <w:pPr>
        <w:spacing w:after="80"/>
      </w:pP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Mapa de los 3 formatos · Kit PlanifiKIA Colombia</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2026-07-19T11:58:21.365Z</dcterms:created>
  <dcterms:modified xsi:type="dcterms:W3CDTF">2026-07-19T11:58:21.365Z</dcterms:modified>
</cp:coreProperties>
</file>

<file path=docProps/custom.xml><?xml version="1.0" encoding="utf-8"?>
<Properties xmlns="http://schemas.openxmlformats.org/officeDocument/2006/custom-properties" xmlns:vt="http://schemas.openxmlformats.org/officeDocument/2006/docPropsVTypes"/>
</file>