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tipo_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rriweather" w:hAnsi="Merriweather"/>
          <w:b/>
          <w:color w:val="D4AF37"/>
          <w:sz w:val="26"/>
        </w:rPr>
        <w:t>Kit PlanifiKIA Perú</w:t>
      </w:r>
    </w:p>
    <w:p>
      <w:pPr>
        <w:jc w:val="center"/>
      </w:pPr>
      <w:r>
        <w:rPr>
          <w:rFonts w:ascii="Merriweather" w:hAnsi="Merriweather"/>
          <w:b/>
          <w:color w:val="1A365D"/>
          <w:sz w:val="44"/>
        </w:rPr>
        <w:t>La cadena CNEB sin nudos</w:t>
      </w:r>
    </w:p>
    <w:p>
      <w:pPr>
        <w:jc w:val="center"/>
      </w:pPr>
      <w:r>
        <w:rPr>
          <w:rFonts w:ascii="Inter" w:hAnsi="Inter"/>
          <w:color w:val="5A5A5A"/>
          <w:sz w:val="24"/>
        </w:rPr>
        <w:t>Guía de entrada</w:t>
      </w:r>
    </w:p>
    <w:p/>
    <w:p/>
    <w:p>
      <w:pPr>
        <w:jc w:val="center"/>
      </w:pPr>
      <w:r>
        <w:rPr>
          <w:i/>
          <w:color w:val="5A5A5A"/>
          <w:sz w:val="18"/>
        </w:rPr>
        <w:t>Atenea Grupo Educativo  ·  Currículo Nacional de la Educación Básica</w:t>
      </w:r>
    </w:p>
    <w:p>
      <w:r>
        <w:br w:type="page"/>
      </w:r>
    </w:p>
    <w:p>
      <w:pPr>
        <w:spacing w:before="280" w:after="160"/>
        <w:pBdr>
          <w:bottom w:val="single" w:sz="6" w:space="4" w:color="D4AF37"/>
        </w:pBdr>
      </w:pPr>
      <w:r>
        <w:rPr>
          <w:rFonts w:ascii="Merriweather" w:hAnsi="Merriweather"/>
          <w:b/>
          <w:color w:val="1A365D"/>
          <w:sz w:val="30"/>
        </w:rPr>
        <w:t>Antes de empezar: respira, profe</w:t>
      </w:r>
    </w:p>
    <w:p>
      <w:r>
        <w:rPr>
          <w:rFonts w:ascii="Inter" w:hAnsi="Inter"/>
          <w:color w:val="222222"/>
          <w:sz w:val="21"/>
        </w:rPr>
        <w:t>Si estás leyendo esto, seguramente te han pedido —a veces la misma semana— la **unidad de</w:t>
      </w:r>
    </w:p>
    <w:p>
      <w:r>
        <w:rPr>
          <w:rFonts w:ascii="Inter" w:hAnsi="Inter"/>
          <w:color w:val="222222"/>
          <w:sz w:val="21"/>
        </w:rPr>
        <w:t>aprendizaje</w:t>
      </w:r>
      <w:r>
        <w:rPr>
          <w:rFonts w:ascii="Inter" w:hAnsi="Inter"/>
          <w:b/>
          <w:color w:val="222222"/>
          <w:sz w:val="21"/>
        </w:rPr>
        <w:t xml:space="preserve">, las </w:t>
      </w:r>
      <w:r>
        <w:rPr>
          <w:rFonts w:ascii="Inter" w:hAnsi="Inter"/>
          <w:color w:val="222222"/>
          <w:sz w:val="21"/>
        </w:rPr>
        <w:t>sesiones de aprendizaje</w:t>
      </w:r>
      <w:r>
        <w:rPr>
          <w:rFonts w:ascii="Inter" w:hAnsi="Inter"/>
          <w:b/>
          <w:color w:val="222222"/>
          <w:sz w:val="21"/>
        </w:rPr>
        <w:t xml:space="preserve"> y ahora también la </w:t>
      </w:r>
      <w:r>
        <w:rPr>
          <w:rFonts w:ascii="Inter" w:hAnsi="Inter"/>
          <w:color w:val="222222"/>
          <w:sz w:val="21"/>
        </w:rPr>
        <w:t>experiencia de aprendizaje**.</w:t>
      </w:r>
    </w:p>
    <w:p>
      <w:r>
        <w:rPr>
          <w:rFonts w:ascii="Inter" w:hAnsi="Inter"/>
          <w:color w:val="222222"/>
          <w:sz w:val="21"/>
        </w:rPr>
        <w:t>Tres formatos, tres plantillas que circulan por WhatsApp, tres fines de semana. Y una sospecha</w:t>
      </w:r>
    </w:p>
    <w:p>
      <w:r>
        <w:rPr>
          <w:rFonts w:ascii="Inter" w:hAnsi="Inter"/>
          <w:color w:val="222222"/>
          <w:sz w:val="21"/>
        </w:rPr>
        <w:t xml:space="preserve">razonable: </w:t>
      </w:r>
      <w:r>
        <w:rPr>
          <w:rFonts w:ascii="Inter" w:hAnsi="Inter"/>
          <w:i/>
          <w:color w:val="222222"/>
          <w:sz w:val="21"/>
        </w:rPr>
        <w:t>¿de verdad el currículo me exige todo esto, con este formato exacto?</w:t>
      </w:r>
    </w:p>
    <w:p>
      <w:r>
        <w:rPr>
          <w:rFonts w:ascii="Inter" w:hAnsi="Inter"/>
          <w:color w:val="222222"/>
          <w:sz w:val="21"/>
        </w:rPr>
        <w:t>La respuesta corta, verificada contra los documentos oficiales públicos del Ministerio de</w:t>
      </w:r>
    </w:p>
    <w:p>
      <w:r>
        <w:rPr>
          <w:rFonts w:ascii="Inter" w:hAnsi="Inter"/>
          <w:color w:val="222222"/>
          <w:sz w:val="21"/>
        </w:rPr>
        <w:t xml:space="preserve">Educación: </w:t>
      </w:r>
      <w:r>
        <w:rPr>
          <w:rFonts w:ascii="Inter" w:hAnsi="Inter"/>
          <w:b/>
          <w:color w:val="222222"/>
          <w:sz w:val="21"/>
        </w:rPr>
        <w:t>no</w:t>
      </w:r>
      <w:r>
        <w:rPr>
          <w:rFonts w:ascii="Inter" w:hAnsi="Inter"/>
          <w:color w:val="222222"/>
          <w:sz w:val="21"/>
        </w:rPr>
        <w:t>.</w:t>
      </w:r>
    </w:p>
    <w:p>
      <w:r>
        <w:rPr>
          <w:rFonts w:ascii="Inter" w:hAnsi="Inter"/>
          <w:color w:val="222222"/>
          <w:sz w:val="21"/>
        </w:rPr>
        <w:t>📌 El Currículo Nacional de la Educación Básica (CNEB) se define a sí mismo como un currículo</w:t>
      </w:r>
    </w:p>
    <w:p>
      <w:r>
        <w:rPr>
          <w:rFonts w:ascii="Inter" w:hAnsi="Inter"/>
          <w:b/>
          <w:color w:val="222222"/>
          <w:sz w:val="21"/>
        </w:rPr>
        <w:t>flexible, abierto y diversificado</w:t>
      </w:r>
      <w:r>
        <w:rPr>
          <w:rFonts w:ascii="Inter" w:hAnsi="Inter"/>
          <w:color w:val="222222"/>
          <w:sz w:val="21"/>
        </w:rPr>
        <w:t>: *"ofrece un margen de libertad que permite la adaptación a</w:t>
      </w:r>
    </w:p>
    <w:p>
      <w:r>
        <w:rPr>
          <w:rFonts w:ascii="Inter" w:hAnsi="Inter"/>
          <w:color w:val="222222"/>
          <w:sz w:val="21"/>
        </w:rPr>
        <w:t>la diversidad de estudiantes"</w:t>
      </w:r>
      <w:r>
        <w:rPr>
          <w:rFonts w:ascii="Inter" w:hAnsi="Inter"/>
          <w:i/>
          <w:color w:val="222222"/>
          <w:sz w:val="21"/>
        </w:rPr>
        <w:t xml:space="preserve">. Da </w:t>
      </w:r>
      <w:r>
        <w:rPr>
          <w:rFonts w:ascii="Inter" w:hAnsi="Inter"/>
          <w:i/>
          <w:color w:val="222222"/>
          <w:sz w:val="21"/>
        </w:rPr>
        <w:t>orientaciones</w:t>
      </w:r>
      <w:r>
        <w:rPr>
          <w:rFonts w:ascii="Inter" w:hAnsi="Inter"/>
          <w:color w:val="222222"/>
          <w:sz w:val="21"/>
        </w:rPr>
        <w:t>* para planificar — no esquemas de llenado. El</w:t>
      </w:r>
    </w:p>
    <w:p>
      <w:r>
        <w:rPr>
          <w:rFonts w:ascii="Inter" w:hAnsi="Inter"/>
          <w:color w:val="222222"/>
          <w:sz w:val="21"/>
        </w:rPr>
        <w:t xml:space="preserve">formato único obligatorio de unidad o sesión </w:t>
      </w:r>
      <w:r>
        <w:rPr>
          <w:rFonts w:ascii="Inter" w:hAnsi="Inter"/>
          <w:b/>
          <w:color w:val="222222"/>
          <w:sz w:val="21"/>
        </w:rPr>
        <w:t>no existe</w:t>
      </w:r>
      <w:r>
        <w:rPr>
          <w:rFonts w:ascii="Inter" w:hAnsi="Inter"/>
          <w:color w:val="222222"/>
          <w:sz w:val="21"/>
        </w:rPr>
        <w:t xml:space="preserve"> en el CNEB. Lo que sí exige es otra</w:t>
      </w:r>
    </w:p>
    <w:p>
      <w:r>
        <w:rPr>
          <w:rFonts w:ascii="Inter" w:hAnsi="Inter"/>
          <w:color w:val="222222"/>
          <w:sz w:val="21"/>
        </w:rPr>
        <w:t xml:space="preserve">cosa, y es lo que esta guía te entrega resuelto: </w:t>
      </w:r>
      <w:r>
        <w:rPr>
          <w:rFonts w:ascii="Inter" w:hAnsi="Inter"/>
          <w:b/>
          <w:color w:val="222222"/>
          <w:sz w:val="21"/>
        </w:rPr>
        <w:t>la cadena</w:t>
      </w:r>
      <w:r>
        <w:rPr>
          <w:rFonts w:ascii="Inter" w:hAnsi="Inter"/>
          <w:color w:val="222222"/>
          <w:sz w:val="21"/>
        </w:rPr>
        <w:t>.</w:t>
      </w:r>
    </w:p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La cadena CNEB (el mapa del tesoro que nadie te dibujó)</w:t>
      </w:r>
    </w:p>
    <w:p>
      <w:r>
        <w:rPr>
          <w:rFonts w:ascii="Inter" w:hAnsi="Inter"/>
          <w:color w:val="222222"/>
          <w:sz w:val="21"/>
        </w:rPr>
        <w:t>Todo el currículo peruano se sostiene en una sola cadena lógica. Cuando la ves completa, la</w:t>
      </w:r>
    </w:p>
    <w:p>
      <w:r>
        <w:rPr>
          <w:rFonts w:ascii="Inter" w:hAnsi="Inter"/>
          <w:color w:val="222222"/>
          <w:sz w:val="21"/>
        </w:rPr>
        <w:t>planificación deja de ser un trámite misterioso:</w:t>
      </w:r>
    </w:p>
    <w:p>
      <w:r>
        <w:rPr>
          <w:rFonts w:ascii="Inter" w:hAnsi="Inter"/>
          <w:b/>
          <w:color w:val="222222"/>
          <w:sz w:val="21"/>
        </w:rPr>
        <w:t>Competencia → Capacidades → Estándar (por ciclo) → Desempeño (por grado) → Evidencia → Actividad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Eslabón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Qué es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Dónde vive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Para qué te sirve</w:t>
            </w:r>
          </w:p>
        </w:tc>
      </w:tr>
      <w:tr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Competencia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La facultad de combinar capacidades para lograr un propósito en una situación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CNEB (las 31)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Es el norte del año: lo que se desarrolla, no lo que se "dicta"</w:t>
            </w:r>
          </w:p>
        </w:tc>
      </w:tr>
      <w:tr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Capacidades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Los recursos (conocimientos, habilidades, actitudes) que se combinan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CNEB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Te dicen qué mirar dentro de la competencia</w:t>
            </w:r>
          </w:p>
        </w:tc>
      </w:tr>
      <w:tr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Estándar de aprendizaje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La descripción del desarrollo de la competencia en 8 niveles, uno por ciclo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CNEB (Sección III)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Es tu referente de llegada del ciclo — y tu métrica de evaluación</w:t>
            </w:r>
          </w:p>
        </w:tc>
      </w:tr>
      <w:tr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Desempeño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 xml:space="preserve">La actuación </w:t>
            </w:r>
            <w:r>
              <w:rPr>
                <w:rFonts w:ascii="Inter" w:hAnsi="Inter"/>
                <w:b/>
                <w:color w:val="222222"/>
                <w:sz w:val="19"/>
              </w:rPr>
              <w:t>específica y observable</w:t>
            </w:r>
            <w:r>
              <w:rPr>
                <w:rFonts w:ascii="Inter" w:hAnsi="Inter"/>
                <w:color w:val="222222"/>
                <w:sz w:val="19"/>
              </w:rPr>
              <w:t xml:space="preserve"> del grado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Programa Curricular de Primaria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Es lo que citas en tu planificación: concreto, observable, del grado que enseñas</w:t>
            </w:r>
          </w:p>
        </w:tc>
      </w:tr>
      <w:tr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Evidencia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Lo que el estudiante produce y te permite valorar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La defines tú (Sección VII)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Es tu insumo de evaluación formativa</w:t>
            </w:r>
          </w:p>
        </w:tc>
      </w:tr>
      <w:tr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Actividad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La experiencia que produce la evidencia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La diseñas tú (Sección VI)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Aquí está tu libertad profesional — el CNEB la protege</w:t>
            </w:r>
          </w:p>
        </w:tc>
      </w:tr>
    </w:tbl>
    <w:p/>
    <w:p>
      <w:r>
        <w:rPr>
          <w:rFonts w:ascii="Inter" w:hAnsi="Inter"/>
          <w:color w:val="222222"/>
          <w:sz w:val="21"/>
        </w:rPr>
        <w:t>El dolor de la planificación por competencias casi siempre es este: te piden empezar por el</w:t>
      </w:r>
    </w:p>
    <w:p>
      <w:r>
        <w:rPr>
          <w:rFonts w:ascii="Inter" w:hAnsi="Inter"/>
          <w:color w:val="222222"/>
          <w:sz w:val="21"/>
        </w:rPr>
        <w:t>final (el formato) sin haber recorrido la cadena. Este kit la recorre contigo — y viene con el</w:t>
      </w:r>
    </w:p>
    <w:p>
      <w:r>
        <w:rPr>
          <w:rFonts w:ascii="Inter" w:hAnsi="Inter"/>
          <w:b/>
          <w:color w:val="222222"/>
          <w:sz w:val="21"/>
        </w:rPr>
        <w:t>banco de desempeños</w:t>
      </w:r>
      <w:r>
        <w:rPr>
          <w:rFonts w:ascii="Inter" w:hAnsi="Inter"/>
          <w:color w:val="222222"/>
          <w:sz w:val="21"/>
        </w:rPr>
        <w:t xml:space="preserve"> de primaria ya organizado por área, grado y competencia, cada entrada</w:t>
      </w:r>
    </w:p>
    <w:p>
      <w:r>
        <w:rPr>
          <w:rFonts w:ascii="Inter" w:hAnsi="Inter"/>
          <w:color w:val="222222"/>
          <w:sz w:val="21"/>
        </w:rPr>
        <w:t>con su referencia exacta al documento oficial.</w:t>
      </w:r>
    </w:p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Qué exige el CNEB de verdad (y qué no)</w:t>
      </w:r>
    </w:p>
    <w:p>
      <w:r>
        <w:rPr>
          <w:rFonts w:ascii="Inter" w:hAnsi="Inter"/>
          <w:b/>
          <w:color w:val="222222"/>
          <w:sz w:val="21"/>
        </w:rPr>
        <w:t>Sí exige: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color w:val="222222"/>
          <w:sz w:val="21"/>
        </w:rPr>
        <w:t xml:space="preserve">Planificar a partir de </w:t>
      </w:r>
      <w:r>
        <w:rPr>
          <w:rFonts w:ascii="Inter" w:hAnsi="Inter"/>
          <w:b/>
          <w:color w:val="222222"/>
          <w:sz w:val="21"/>
        </w:rPr>
        <w:t>situaciones significativas</w:t>
      </w:r>
      <w:r>
        <w:rPr>
          <w:rFonts w:ascii="Inter" w:hAnsi="Inter"/>
          <w:color w:val="222222"/>
          <w:sz w:val="21"/>
        </w:rPr>
        <w:t xml:space="preserve"> — situaciones retadoras del contexto</w:t>
      </w:r>
    </w:p>
    <w:p>
      <w:r>
        <w:rPr>
          <w:rFonts w:ascii="Inter" w:hAnsi="Inter"/>
          <w:color w:val="222222"/>
          <w:sz w:val="21"/>
        </w:rPr>
        <w:t>real de tus estudiantes (Sección VI).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b/>
          <w:color w:val="222222"/>
          <w:sz w:val="21"/>
        </w:rPr>
        <w:t>Evaluación formativa</w:t>
      </w:r>
      <w:r>
        <w:rPr>
          <w:rFonts w:ascii="Inter" w:hAnsi="Inter"/>
          <w:color w:val="222222"/>
          <w:sz w:val="21"/>
        </w:rPr>
        <w:t xml:space="preserve"> (Sección VII): criterios claros, evidencias previstas y</w:t>
      </w:r>
    </w:p>
    <w:p>
      <w:r>
        <w:rPr>
          <w:rFonts w:ascii="Inter" w:hAnsi="Inter"/>
          <w:color w:val="222222"/>
          <w:sz w:val="21"/>
        </w:rPr>
        <w:t>retroalimentación oportuna — no "el examen del final".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color w:val="222222"/>
          <w:sz w:val="21"/>
        </w:rPr>
        <w:t>Coherencia con la cadena: que tu unidad y tus sesiones desarrollen competencias, no temas</w:t>
      </w:r>
    </w:p>
    <w:p>
      <w:r>
        <w:rPr>
          <w:rFonts w:ascii="Inter" w:hAnsi="Inter"/>
          <w:color w:val="222222"/>
          <w:sz w:val="21"/>
        </w:rPr>
        <w:t>sueltos.</w:t>
      </w:r>
    </w:p>
    <w:p>
      <w:r>
        <w:rPr>
          <w:rFonts w:ascii="Inter" w:hAnsi="Inter"/>
          <w:b/>
          <w:color w:val="222222"/>
          <w:sz w:val="21"/>
        </w:rPr>
        <w:t>No exige: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color w:val="222222"/>
          <w:sz w:val="21"/>
        </w:rPr>
        <w:t>Un formato único de unidad, sesión o experiencia de aprendizaje. Los docentes planifican; el</w:t>
      </w:r>
    </w:p>
    <w:p>
      <w:r>
        <w:rPr>
          <w:rFonts w:ascii="Inter" w:hAnsi="Inter"/>
          <w:color w:val="222222"/>
          <w:sz w:val="21"/>
        </w:rPr>
        <w:t>CNEB orienta (*"partir de situaciones significativas, generar interés, aprender haciendo,</w:t>
      </w:r>
    </w:p>
    <w:p>
      <w:r>
        <w:rPr>
          <w:rFonts w:ascii="Inter" w:hAnsi="Inter"/>
          <w:color w:val="222222"/>
          <w:sz w:val="21"/>
        </w:rPr>
        <w:t>partir de los saberes previos"*) — la estructura del documento la decide tu IE y tu criterio.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color w:val="222222"/>
          <w:sz w:val="21"/>
        </w:rPr>
        <w:t>Que la "carpeta pedagógica" pese dos kilos. Ningún documento normativo pide volumen; pide</w:t>
      </w:r>
    </w:p>
    <w:p>
      <w:r>
        <w:rPr>
          <w:rFonts w:ascii="Inter" w:hAnsi="Inter"/>
          <w:color w:val="222222"/>
          <w:sz w:val="21"/>
        </w:rPr>
        <w:t>coherencia.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color w:val="222222"/>
          <w:sz w:val="21"/>
        </w:rPr>
        <w:t xml:space="preserve">Que planifiques tres veces. La cadena se recorre </w:t>
      </w:r>
      <w:r>
        <w:rPr>
          <w:rFonts w:ascii="Inter" w:hAnsi="Inter"/>
          <w:b/>
          <w:color w:val="222222"/>
          <w:sz w:val="21"/>
        </w:rPr>
        <w:t>una vez</w:t>
      </w:r>
      <w:r>
        <w:rPr>
          <w:rFonts w:ascii="Inter" w:hAnsi="Inter"/>
          <w:color w:val="222222"/>
          <w:sz w:val="21"/>
        </w:rPr>
        <w:t>; los tres formatos son tres</w:t>
      </w:r>
    </w:p>
    <w:p>
      <w:r>
        <w:rPr>
          <w:rFonts w:ascii="Inter" w:hAnsi="Inter"/>
          <w:color w:val="222222"/>
          <w:sz w:val="21"/>
        </w:rPr>
        <w:t>vistas del mismo recorrido.</w:t>
      </w:r>
    </w:p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El método del kit: recorre la cadena una vez, entrega los tres formatos</w:t>
      </w:r>
    </w:p>
    <w:p>
      <w:r>
        <w:rPr>
          <w:rFonts w:ascii="Inter" w:hAnsi="Inter"/>
          <w:color w:val="222222"/>
          <w:sz w:val="21"/>
        </w:rPr>
        <w:t>El trabajo pedagógico real es uno solo: decidir qué competencia y qué desempeños trabajar, con</w:t>
      </w:r>
    </w:p>
    <w:p>
      <w:r>
        <w:rPr>
          <w:rFonts w:ascii="Inter" w:hAnsi="Inter"/>
          <w:color w:val="222222"/>
          <w:sz w:val="21"/>
        </w:rPr>
        <w:t>qué situación significativa, qué evidencias esperar y cómo retroalimentar. Eso vive en un único</w:t>
      </w:r>
    </w:p>
    <w:p>
      <w:r>
        <w:rPr>
          <w:rFonts w:ascii="Inter" w:hAnsi="Inter"/>
          <w:color w:val="222222"/>
          <w:sz w:val="21"/>
        </w:rPr>
        <w:t xml:space="preserve">lugar — el </w:t>
      </w:r>
      <w:r>
        <w:rPr>
          <w:rFonts w:ascii="Inter" w:hAnsi="Inter"/>
          <w:b/>
          <w:color w:val="222222"/>
          <w:sz w:val="21"/>
        </w:rPr>
        <w:t>planeador maestro</w:t>
      </w:r>
      <w:r>
        <w:rPr>
          <w:rFonts w:ascii="Inter" w:hAnsi="Inter"/>
          <w:color w:val="222222"/>
          <w:sz w:val="21"/>
        </w:rPr>
        <w:t xml:space="preserve"> (pieza P2.1) — y de ahí se derivan las tres salidas: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color w:val="222222"/>
          <w:sz w:val="21"/>
        </w:rPr>
        <w:t xml:space="preserve">La </w:t>
      </w:r>
      <w:r>
        <w:rPr>
          <w:rFonts w:ascii="Inter" w:hAnsi="Inter"/>
          <w:b/>
          <w:color w:val="222222"/>
          <w:sz w:val="21"/>
        </w:rPr>
        <w:t>unidad de aprendizaje</w:t>
      </w:r>
      <w:r>
        <w:rPr>
          <w:rFonts w:ascii="Inter" w:hAnsi="Inter"/>
          <w:color w:val="222222"/>
          <w:sz w:val="21"/>
        </w:rPr>
        <w:t xml:space="preserve"> toma la visión del periodo: situación significativa, competencias</w:t>
      </w:r>
    </w:p>
    <w:p>
      <w:r>
        <w:rPr>
          <w:rFonts w:ascii="Inter" w:hAnsi="Inter"/>
          <w:color w:val="222222"/>
          <w:sz w:val="21"/>
        </w:rPr>
        <w:t>y desempeños del grado, secuencia de sesiones, evidencias y criterios.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color w:val="222222"/>
          <w:sz w:val="21"/>
        </w:rPr>
        <w:t xml:space="preserve">La </w:t>
      </w:r>
      <w:r>
        <w:rPr>
          <w:rFonts w:ascii="Inter" w:hAnsi="Inter"/>
          <w:b/>
          <w:color w:val="222222"/>
          <w:sz w:val="21"/>
        </w:rPr>
        <w:t>sesión de aprendizaje</w:t>
      </w:r>
      <w:r>
        <w:rPr>
          <w:rFonts w:ascii="Inter" w:hAnsi="Inter"/>
          <w:color w:val="222222"/>
          <w:sz w:val="21"/>
        </w:rPr>
        <w:t xml:space="preserve"> toma el zoom de un día: propósito, momentos, actividad, evidencia</w:t>
      </w:r>
    </w:p>
    <w:p>
      <w:r>
        <w:rPr>
          <w:rFonts w:ascii="Inter" w:hAnsi="Inter"/>
          <w:color w:val="222222"/>
          <w:sz w:val="21"/>
        </w:rPr>
        <w:t>y cierre con retroalimentación.</w:t>
      </w:r>
    </w:p>
    <w:p>
      <w:pPr>
        <w:ind w:left="360"/>
      </w:pPr>
      <w:r>
        <w:rPr>
          <w:b/>
          <w:color w:val="D4AF37"/>
        </w:rPr>
        <w:t xml:space="preserve">•  </w:t>
      </w:r>
      <w:r>
        <w:rPr>
          <w:rFonts w:ascii="Inter" w:hAnsi="Inter"/>
          <w:color w:val="222222"/>
          <w:sz w:val="21"/>
        </w:rPr>
        <w:t xml:space="preserve">La </w:t>
      </w:r>
      <w:r>
        <w:rPr>
          <w:rFonts w:ascii="Inter" w:hAnsi="Inter"/>
          <w:b/>
          <w:color w:val="222222"/>
          <w:sz w:val="21"/>
        </w:rPr>
        <w:t>experiencia de aprendizaje</w:t>
      </w:r>
      <w:r>
        <w:rPr>
          <w:rFonts w:ascii="Inter" w:hAnsi="Inter"/>
          <w:color w:val="222222"/>
          <w:sz w:val="21"/>
        </w:rPr>
        <w:t xml:space="preserve"> toma la vista integrada: una situación significativa que</w:t>
      </w:r>
    </w:p>
    <w:p>
      <w:r>
        <w:rPr>
          <w:rFonts w:ascii="Inter" w:hAnsi="Inter"/>
          <w:color w:val="222222"/>
          <w:sz w:val="21"/>
        </w:rPr>
        <w:t>articula desempeños de varias áreas en un producto.</w:t>
      </w:r>
    </w:p>
    <w:p>
      <w:r>
        <w:rPr>
          <w:rFonts w:ascii="Inter" w:hAnsi="Inter"/>
          <w:color w:val="222222"/>
          <w:sz w:val="21"/>
        </w:rPr>
        <w:t>Mismo planeador, tres vistas. Cero triple digitación.</w:t>
      </w:r>
    </w:p>
    <w:p/>
    <w:sectPr w:rsidR="00FC693F" w:rsidRPr="0006063C" w:rsidSect="00034616">
      <w:headerReference w:type="default" r:id="rId9"/>
      <w:footerReference w:type="default" r:id="rId11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i/>
        <w:color w:val="5A5A5A"/>
        <w:sz w:val="14"/>
      </w:rPr>
      <w:t>Verificado contra los documentos oficiales públicos del MINEDU · No es una publicación del MINEDU ni cuenta con su aval · Atenea Grupo Educativo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68275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2752" cy="25603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