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05840" cy="1005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otipo_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005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erriweather" w:hAnsi="Merriweather"/>
          <w:b/>
          <w:color w:val="D4AF37"/>
          <w:sz w:val="26"/>
        </w:rPr>
        <w:t>Kit PlanifiKIA Perú</w:t>
      </w:r>
    </w:p>
    <w:p>
      <w:pPr>
        <w:jc w:val="center"/>
      </w:pPr>
      <w:r>
        <w:rPr>
          <w:rFonts w:ascii="Merriweather" w:hAnsi="Merriweather"/>
          <w:b/>
          <w:color w:val="1A365D"/>
          <w:sz w:val="44"/>
        </w:rPr>
        <w:t>Unidad, sesión y experiencia</w:t>
      </w:r>
    </w:p>
    <w:p>
      <w:pPr>
        <w:jc w:val="center"/>
      </w:pPr>
      <w:r>
        <w:rPr>
          <w:rFonts w:ascii="Inter" w:hAnsi="Inter"/>
          <w:color w:val="5A5A5A"/>
          <w:sz w:val="24"/>
        </w:rPr>
        <w:t>El mapa de los 3 formatos</w:t>
      </w:r>
    </w:p>
    <w:p/>
    <w:p/>
    <w:p>
      <w:pPr>
        <w:jc w:val="center"/>
      </w:pPr>
      <w:r>
        <w:rPr>
          <w:i/>
          <w:color w:val="5A5A5A"/>
          <w:sz w:val="18"/>
        </w:rPr>
        <w:t>Atenea Grupo Educativo  ·  Currículo Nacional de la Educación Básica</w:t>
      </w:r>
    </w:p>
    <w:p>
      <w:r>
        <w:br w:type="page"/>
      </w:r>
    </w:p>
    <w:p>
      <w:pPr>
        <w:spacing w:before="280" w:after="160"/>
        <w:pBdr>
          <w:bottom w:val="single" w:sz="6" w:space="4" w:color="D4AF37"/>
        </w:pBdr>
      </w:pPr>
      <w:r>
        <w:rPr>
          <w:rFonts w:ascii="Merriweather" w:hAnsi="Merriweather"/>
          <w:b/>
          <w:color w:val="1A365D"/>
          <w:sz w:val="30"/>
        </w:rPr>
        <w:t>P1.2 · El mapa de los tres formatos (unidad · sesión · experiencia)</w:t>
      </w:r>
    </w:p>
    <w:p>
      <w:r>
        <w:rPr>
          <w:rFonts w:ascii="Inter" w:hAnsi="Inter"/>
          <w:b/>
          <w:color w:val="222222"/>
          <w:sz w:val="21"/>
        </w:rPr>
        <w:t>Rutina Compara-Contrasta</w:t>
      </w:r>
      <w:r>
        <w:rPr>
          <w:rFonts w:ascii="Inter" w:hAnsi="Inter"/>
          <w:color w:val="222222"/>
          <w:sz w:val="21"/>
        </w:rPr>
        <w:t xml:space="preserve"> (hazla antes de leer la tabla): toma los formatos que TU IE te</w:t>
      </w:r>
    </w:p>
    <w:p>
      <w:r>
        <w:rPr>
          <w:rFonts w:ascii="Inter" w:hAnsi="Inter"/>
          <w:color w:val="222222"/>
          <w:sz w:val="21"/>
        </w:rPr>
        <w:t>pide. Márcalos: ¿qué campo se repite en los tres? ¿qué campo es único de cada uno? Lo que se</w:t>
      </w:r>
    </w:p>
    <w:p>
      <w:r>
        <w:rPr>
          <w:rFonts w:ascii="Inter" w:hAnsi="Inter"/>
          <w:color w:val="222222"/>
          <w:sz w:val="21"/>
        </w:rPr>
        <w:t>repite es el corazón (la cadena citada). Lo único es la "vista". Eso que acabas de descubrir es</w:t>
      </w:r>
    </w:p>
    <w:p>
      <w:r>
        <w:rPr>
          <w:rFonts w:ascii="Inter" w:hAnsi="Inter"/>
          <w:color w:val="222222"/>
          <w:sz w:val="21"/>
        </w:rPr>
        <w:t>todo el método del kit.</w:t>
      </w:r>
    </w:p>
    <w:p>
      <w:pPr>
        <w:spacing w:before="220"/>
      </w:pPr>
      <w:r>
        <w:rPr>
          <w:rFonts w:ascii="Merriweather" w:hAnsi="Merriweather"/>
          <w:b/>
          <w:color w:val="D4AF37"/>
          <w:sz w:val="25"/>
        </w:rPr>
        <w:t>Qué comparte todo (el núcleo común — se llena UNA vez, en el planeador)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tcMar>
              <w:top w:w="60" w:type="dxa"/>
              <w:bottom w:w="60" w:type="dxa"/>
              <w:start w:w="90" w:type="dxa"/>
              <w:end w:w="90" w:type="dxa"/>
            </w:tcMar>
            <w:shd w:val="clear" w:fill="1A365D"/>
          </w:tcPr>
          <w:p>
            <w:r/>
            <w:r>
              <w:rPr>
                <w:rFonts w:ascii="Inter" w:hAnsi="Inter"/>
                <w:b/>
                <w:color w:val="FFFFFF"/>
                <w:sz w:val="19"/>
              </w:rPr>
              <w:t>Núcleo común</w:t>
            </w:r>
          </w:p>
        </w:tc>
        <w:tc>
          <w:tcPr>
            <w:tcW w:type="dxa" w:w="4824"/>
            <w:tcMar>
              <w:top w:w="60" w:type="dxa"/>
              <w:bottom w:w="60" w:type="dxa"/>
              <w:start w:w="90" w:type="dxa"/>
              <w:end w:w="90" w:type="dxa"/>
            </w:tcMar>
            <w:shd w:val="clear" w:fill="1A365D"/>
          </w:tcPr>
          <w:p>
            <w:r/>
            <w:r>
              <w:rPr>
                <w:rFonts w:ascii="Inter" w:hAnsi="Inter"/>
                <w:b/>
                <w:color w:val="FFFFFF"/>
                <w:sz w:val="19"/>
              </w:rPr>
              <w:t>De dónde sale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Competencia(s) y capacidades</w:t>
            </w:r>
          </w:p>
        </w:tc>
        <w:tc>
          <w:tcPr>
            <w:tcW w:type="dxa" w:w="482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CNEB, citadas desde el banco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Desempeños del grado</w:t>
            </w:r>
          </w:p>
        </w:tc>
        <w:tc>
          <w:tcPr>
            <w:tcW w:type="dxa" w:w="4824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Programa Curricular de Primaria (banco del kit, con referencia por entrada)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Estándar del ciclo (referente de llegada)</w:t>
            </w:r>
          </w:p>
        </w:tc>
        <w:tc>
          <w:tcPr>
            <w:tcW w:type="dxa" w:w="482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CNEB, Sección III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Situación significativa</w:t>
            </w:r>
          </w:p>
        </w:tc>
        <w:tc>
          <w:tcPr>
            <w:tcW w:type="dxa" w:w="4824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Tu contexto (el planeador te da la estructura)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Criterios y evidencias de evaluación</w:t>
            </w:r>
          </w:p>
        </w:tc>
        <w:tc>
          <w:tcPr>
            <w:tcW w:type="dxa" w:w="482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Derivados del estándar + desempeños (Sección VII)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Enfoques transversales</w:t>
            </w:r>
          </w:p>
        </w:tc>
        <w:tc>
          <w:tcPr>
            <w:tcW w:type="dxa" w:w="4824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CNEB (los 7)</w:t>
            </w:r>
          </w:p>
        </w:tc>
      </w:tr>
    </w:tbl>
    <w:p/>
    <w:p>
      <w:pPr>
        <w:spacing w:before="220"/>
      </w:pPr>
      <w:r>
        <w:rPr>
          <w:rFonts w:ascii="Merriweather" w:hAnsi="Merriweather"/>
          <w:b/>
          <w:color w:val="D4AF37"/>
          <w:sz w:val="25"/>
        </w:rPr>
        <w:t>Qué es único de cada formato (la "vista")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tcMar>
              <w:top w:w="60" w:type="dxa"/>
              <w:bottom w:w="60" w:type="dxa"/>
              <w:start w:w="90" w:type="dxa"/>
              <w:end w:w="90" w:type="dxa"/>
            </w:tcMar>
            <w:shd w:val="clear" w:fill="1A365D"/>
          </w:tcPr>
          <w:p>
            <w:r/>
            <w:r>
              <w:rPr>
                <w:rFonts w:ascii="Inter" w:hAnsi="Inter"/>
                <w:b/>
                <w:color w:val="FFFFFF"/>
                <w:sz w:val="19"/>
              </w:rPr>
            </w:r>
          </w:p>
        </w:tc>
        <w:tc>
          <w:tcPr>
            <w:tcW w:type="dxa" w:w="2412"/>
            <w:tcMar>
              <w:top w:w="60" w:type="dxa"/>
              <w:bottom w:w="60" w:type="dxa"/>
              <w:start w:w="90" w:type="dxa"/>
              <w:end w:w="90" w:type="dxa"/>
            </w:tcMar>
            <w:shd w:val="clear" w:fill="1A365D"/>
          </w:tcPr>
          <w:p>
            <w:r/>
            <w:r>
              <w:rPr>
                <w:rFonts w:ascii="Inter" w:hAnsi="Inter"/>
                <w:b/>
                <w:color w:val="FFFFFF"/>
                <w:sz w:val="19"/>
              </w:rPr>
              <w:t>Unidad de aprendizaje</w:t>
            </w:r>
          </w:p>
        </w:tc>
        <w:tc>
          <w:tcPr>
            <w:tcW w:type="dxa" w:w="2412"/>
            <w:tcMar>
              <w:top w:w="60" w:type="dxa"/>
              <w:bottom w:w="60" w:type="dxa"/>
              <w:start w:w="90" w:type="dxa"/>
              <w:end w:w="90" w:type="dxa"/>
            </w:tcMar>
            <w:shd w:val="clear" w:fill="1A365D"/>
          </w:tcPr>
          <w:p>
            <w:r/>
            <w:r>
              <w:rPr>
                <w:rFonts w:ascii="Inter" w:hAnsi="Inter"/>
                <w:b/>
                <w:color w:val="FFFFFF"/>
                <w:sz w:val="19"/>
              </w:rPr>
              <w:t>Sesión de aprendizaje</w:t>
            </w:r>
          </w:p>
        </w:tc>
        <w:tc>
          <w:tcPr>
            <w:tcW w:type="dxa" w:w="2412"/>
            <w:tcMar>
              <w:top w:w="60" w:type="dxa"/>
              <w:bottom w:w="60" w:type="dxa"/>
              <w:start w:w="90" w:type="dxa"/>
              <w:end w:w="90" w:type="dxa"/>
            </w:tcMar>
            <w:shd w:val="clear" w:fill="1A365D"/>
          </w:tcPr>
          <w:p>
            <w:r/>
            <w:r>
              <w:rPr>
                <w:rFonts w:ascii="Inter" w:hAnsi="Inter"/>
                <w:b/>
                <w:color w:val="FFFFFF"/>
                <w:sz w:val="19"/>
              </w:rPr>
              <w:t>Experiencia de aprendizaje</w:t>
            </w:r>
          </w:p>
        </w:tc>
      </w:tr>
      <w:tr>
        <w:tc>
          <w:tcPr>
            <w:tcW w:type="dxa" w:w="2412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b/>
                <w:color w:val="222222"/>
                <w:sz w:val="19"/>
              </w:rPr>
              <w:t>Horizonte</w:t>
            </w:r>
          </w:p>
        </w:tc>
        <w:tc>
          <w:tcPr>
            <w:tcW w:type="dxa" w:w="2412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El periodo (2-6 semanas)</w:t>
            </w:r>
          </w:p>
        </w:tc>
        <w:tc>
          <w:tcPr>
            <w:tcW w:type="dxa" w:w="2412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Un día / bloque</w:t>
            </w:r>
          </w:p>
        </w:tc>
        <w:tc>
          <w:tcPr>
            <w:tcW w:type="dxa" w:w="2412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1-4 semanas, integrada</w:t>
            </w:r>
          </w:p>
        </w:tc>
      </w:tr>
      <w:tr>
        <w:tc>
          <w:tcPr>
            <w:tcW w:type="dxa" w:w="2412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b/>
                <w:color w:val="222222"/>
                <w:sz w:val="19"/>
              </w:rPr>
              <w:t>Lo único</w:t>
            </w:r>
          </w:p>
        </w:tc>
        <w:tc>
          <w:tcPr>
            <w:tcW w:type="dxa" w:w="2412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Secuencia de sesiones + producto del periodo</w:t>
            </w:r>
          </w:p>
        </w:tc>
        <w:tc>
          <w:tcPr>
            <w:tcW w:type="dxa" w:w="2412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Momentos (inicio-desarrollo-cierre) + gestión del tiempo</w:t>
            </w:r>
          </w:p>
        </w:tc>
        <w:tc>
          <w:tcPr>
            <w:tcW w:type="dxa" w:w="2412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Articulación de 2+ áreas sobre UNA situación + producto integrador</w:t>
            </w:r>
          </w:p>
        </w:tc>
      </w:tr>
      <w:tr>
        <w:tc>
          <w:tcPr>
            <w:tcW w:type="dxa" w:w="2412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b/>
                <w:color w:val="222222"/>
                <w:sz w:val="19"/>
              </w:rPr>
              <w:t>Pregunta que responde</w:t>
            </w:r>
          </w:p>
        </w:tc>
        <w:tc>
          <w:tcPr>
            <w:tcW w:type="dxa" w:w="2412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¿Cómo progresa el aprendizaje este periodo?</w:t>
            </w:r>
          </w:p>
        </w:tc>
        <w:tc>
          <w:tcPr>
            <w:tcW w:type="dxa" w:w="2412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¿Qué pasa mañana en el aula?</w:t>
            </w:r>
          </w:p>
        </w:tc>
        <w:tc>
          <w:tcPr>
            <w:tcW w:type="dxa" w:w="2412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¿Cómo se conecta el aprendizaje con la vida real?</w:t>
            </w:r>
          </w:p>
        </w:tc>
      </w:tr>
      <w:tr>
        <w:tc>
          <w:tcPr>
            <w:tcW w:type="dxa" w:w="2412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b/>
                <w:color w:val="222222"/>
                <w:sz w:val="19"/>
              </w:rPr>
              <w:t>Quién suele pedirla</w:t>
            </w:r>
          </w:p>
        </w:tc>
        <w:tc>
          <w:tcPr>
            <w:tcW w:type="dxa" w:w="2412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Dirección / coordinación</w:t>
            </w:r>
          </w:p>
        </w:tc>
        <w:tc>
          <w:tcPr>
            <w:tcW w:type="dxa" w:w="2412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Acompañamiento pedagógico</w:t>
            </w:r>
          </w:p>
        </w:tc>
        <w:tc>
          <w:tcPr>
            <w:tcW w:type="dxa" w:w="2412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Impulso MINEDU (desde 2020)</w:t>
            </w:r>
          </w:p>
        </w:tc>
      </w:tr>
    </w:tbl>
    <w:p/>
    <w:p>
      <w:pPr>
        <w:spacing w:before="220"/>
      </w:pPr>
      <w:r>
        <w:rPr>
          <w:rFonts w:ascii="Merriweather" w:hAnsi="Merriweather"/>
          <w:b/>
          <w:color w:val="D4AF37"/>
          <w:sz w:val="25"/>
        </w:rPr>
        <w:t>La regla de oro</w:t>
      </w:r>
    </w:p>
    <w:p>
      <w:r>
        <w:rPr>
          <w:rFonts w:ascii="Inter" w:hAnsi="Inter"/>
          <w:color w:val="222222"/>
          <w:sz w:val="21"/>
        </w:rPr>
        <w:t xml:space="preserve">Si un dato no está en el planeador maestro, </w:t>
      </w:r>
      <w:r>
        <w:rPr>
          <w:rFonts w:ascii="Inter" w:hAnsi="Inter"/>
          <w:b/>
          <w:color w:val="222222"/>
          <w:sz w:val="21"/>
        </w:rPr>
        <w:t>no puede aparecer</w:t>
      </w:r>
      <w:r>
        <w:rPr>
          <w:rFonts w:ascii="Inter" w:hAnsi="Inter"/>
          <w:color w:val="222222"/>
          <w:sz w:val="21"/>
        </w:rPr>
        <w:t xml:space="preserve"> en ninguna de las tres</w:t>
      </w:r>
    </w:p>
    <w:p>
      <w:r>
        <w:rPr>
          <w:rFonts w:ascii="Inter" w:hAnsi="Inter"/>
          <w:color w:val="222222"/>
          <w:sz w:val="21"/>
        </w:rPr>
        <w:t>salidas. Y si una salida te pide un dato nuevo de verdad (no una re-digitación), ese dato entra</w:t>
      </w:r>
    </w:p>
    <w:p>
      <w:r>
        <w:rPr>
          <w:rFonts w:ascii="Inter" w:hAnsi="Inter"/>
          <w:color w:val="222222"/>
          <w:sz w:val="21"/>
        </w:rPr>
        <w:t>primero al planeador. Así, cuando te cambien el formato —que te lo van a cambiar—, tu trabajo</w:t>
      </w:r>
    </w:p>
    <w:p>
      <w:r>
        <w:rPr>
          <w:rFonts w:ascii="Inter" w:hAnsi="Inter"/>
          <w:color w:val="222222"/>
          <w:sz w:val="21"/>
        </w:rPr>
        <w:t>pedagógico sobrevive intacto: solo cambia la vista.</w:t>
      </w:r>
    </w:p>
    <w:p/>
    <w:sectPr w:rsidR="00FC693F" w:rsidRPr="0006063C" w:rsidSect="00034616">
      <w:headerReference w:type="default" r:id="rId9"/>
      <w:footerReference w:type="default" r:id="rId11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Inter" w:hAnsi="Inter"/>
        <w:i/>
        <w:color w:val="5A5A5A"/>
        <w:sz w:val="14"/>
      </w:rPr>
      <w:t>Verificado contra los documentos oficiales públicos del MINEDU · No es una publicación del MINEDU ni cuenta con su aval · Atenea Grupo Educativo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682752" cy="2560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82752" cy="25603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