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tipo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rriweather" w:hAnsi="Merriweather"/>
          <w:b/>
          <w:color w:val="D4AF37"/>
          <w:sz w:val="26"/>
        </w:rPr>
        <w:t>Kit PlanifiKIA Perú</w:t>
      </w:r>
    </w:p>
    <w:p>
      <w:pPr>
        <w:jc w:val="center"/>
      </w:pPr>
      <w:r>
        <w:rPr>
          <w:rFonts w:ascii="Merriweather" w:hAnsi="Merriweather"/>
          <w:b/>
          <w:color w:val="1A365D"/>
          <w:sz w:val="44"/>
        </w:rPr>
        <w:t>Las 3 plantillas de salida</w:t>
      </w:r>
    </w:p>
    <w:p>
      <w:pPr>
        <w:jc w:val="center"/>
      </w:pPr>
      <w:r>
        <w:rPr>
          <w:rFonts w:ascii="Inter" w:hAnsi="Inter"/>
          <w:color w:val="5A5A5A"/>
          <w:sz w:val="24"/>
        </w:rPr>
        <w:t>Unidad · Sesión · Experiencia</w:t>
      </w:r>
    </w:p>
    <w:p/>
    <w:p/>
    <w:p>
      <w:pPr>
        <w:jc w:val="center"/>
      </w:pPr>
      <w:r>
        <w:rPr>
          <w:i/>
          <w:color w:val="5A5A5A"/>
          <w:sz w:val="18"/>
        </w:rPr>
        <w:t>Atenea Grupo Educativo  ·  Currículo Nacional de la Educación Básica</w:t>
      </w:r>
    </w:p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P2.3 · Las tres plantillas de salida (pre-mapeadas al planeador)</w:t>
      </w:r>
    </w:p>
    <w:p>
      <w:r>
        <w:rPr>
          <w:rFonts w:ascii="Inter" w:hAnsi="Inter"/>
          <w:color w:val="222222"/>
          <w:sz w:val="21"/>
        </w:rPr>
        <w:t>Tres archivos Word editables. Cada campo trae entre corchetes la celda del planeador de donde</w:t>
      </w:r>
    </w:p>
    <w:p>
      <w:r>
        <w:rPr>
          <w:rFonts w:ascii="Inter" w:hAnsi="Inter"/>
          <w:color w:val="222222"/>
          <w:sz w:val="21"/>
        </w:rPr>
        <w:t xml:space="preserve">se copia — llenar es </w:t>
      </w:r>
      <w:r>
        <w:rPr>
          <w:rFonts w:ascii="Inter" w:hAnsi="Inter"/>
          <w:b/>
          <w:color w:val="222222"/>
          <w:sz w:val="21"/>
        </w:rPr>
        <w:t>trasladar, no volver a pensar</w:t>
      </w:r>
      <w:r>
        <w:rPr>
          <w:rFonts w:ascii="Inter" w:hAnsi="Inter"/>
          <w:color w:val="222222"/>
          <w:sz w:val="21"/>
        </w:rPr>
        <w:t>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Plantilla 1 · Unidad de aprendizaje</w:t>
      </w:r>
    </w:p>
    <w:p>
      <w:pPr>
        <w:ind w:left="360"/>
      </w:pPr>
      <w:r>
        <w:rPr>
          <w:b/>
          <w:color w:val="1A365D"/>
        </w:rPr>
        <w:t xml:space="preserve">1.  </w:t>
      </w:r>
      <w:r>
        <w:rPr>
          <w:rFonts w:ascii="Inter" w:hAnsi="Inter"/>
          <w:color w:val="222222"/>
          <w:sz w:val="21"/>
        </w:rPr>
        <w:t>Datos generales — [encabezado del planeador]</w:t>
      </w:r>
    </w:p>
    <w:p>
      <w:pPr>
        <w:ind w:left="360"/>
      </w:pPr>
      <w:r>
        <w:rPr>
          <w:b/>
          <w:color w:val="1A365D"/>
        </w:rPr>
        <w:t xml:space="preserve">2.  </w:t>
      </w:r>
      <w:r>
        <w:rPr>
          <w:rFonts w:ascii="Inter" w:hAnsi="Inter"/>
          <w:color w:val="222222"/>
          <w:sz w:val="21"/>
        </w:rPr>
        <w:t xml:space="preserve">Situación significativa — [encabezado: situación] </w:t>
      </w:r>
      <w:r>
        <w:rPr>
          <w:rFonts w:ascii="Inter" w:hAnsi="Inter"/>
          <w:i/>
          <w:color w:val="222222"/>
          <w:sz w:val="21"/>
        </w:rPr>
        <w:t>(textual, sin resumir: aquí vive el reto)</w:t>
      </w:r>
    </w:p>
    <w:p>
      <w:pPr>
        <w:ind w:left="360"/>
      </w:pPr>
      <w:r>
        <w:rPr>
          <w:b/>
          <w:color w:val="1A365D"/>
        </w:rPr>
        <w:t xml:space="preserve">3.  </w:t>
      </w:r>
      <w:r>
        <w:rPr>
          <w:rFonts w:ascii="Inter" w:hAnsi="Inter"/>
          <w:color w:val="222222"/>
          <w:sz w:val="21"/>
        </w:rPr>
        <w:t>Propósitos de aprendizaje: competencias, capacidades, desempeños, criterios —</w:t>
      </w:r>
    </w:p>
    <w:p>
      <w:r>
        <w:rPr>
          <w:rFonts w:ascii="Inter" w:hAnsi="Inter"/>
          <w:color w:val="222222"/>
          <w:sz w:val="21"/>
        </w:rPr>
        <w:t xml:space="preserve">[columnas 1, 2, 4, 5] </w:t>
      </w:r>
      <w:r>
        <w:rPr>
          <w:rFonts w:ascii="Inter" w:hAnsi="Inter"/>
          <w:i/>
          <w:color w:val="222222"/>
          <w:sz w:val="21"/>
        </w:rPr>
        <w:t>(la cita del desempeño viaja con él)</w:t>
      </w:r>
    </w:p>
    <w:p>
      <w:pPr>
        <w:ind w:left="360"/>
      </w:pPr>
      <w:r>
        <w:rPr>
          <w:b/>
          <w:color w:val="1A365D"/>
        </w:rPr>
        <w:t xml:space="preserve">4.  </w:t>
      </w:r>
      <w:r>
        <w:rPr>
          <w:rFonts w:ascii="Inter" w:hAnsi="Inter"/>
          <w:color w:val="222222"/>
          <w:sz w:val="21"/>
        </w:rPr>
        <w:t>Enfoques transversales — [encabezado]</w:t>
      </w:r>
    </w:p>
    <w:p>
      <w:pPr>
        <w:ind w:left="360"/>
      </w:pPr>
      <w:r>
        <w:rPr>
          <w:b/>
          <w:color w:val="1A365D"/>
        </w:rPr>
        <w:t xml:space="preserve">5.  </w:t>
      </w:r>
      <w:r>
        <w:rPr>
          <w:rFonts w:ascii="Inter" w:hAnsi="Inter"/>
          <w:color w:val="222222"/>
          <w:sz w:val="21"/>
        </w:rPr>
        <w:t>Secuencia de sesiones (tabla semana × sesión) — [columna 7, agrupada]</w:t>
      </w:r>
    </w:p>
    <w:p>
      <w:pPr>
        <w:ind w:left="360"/>
      </w:pPr>
      <w:r>
        <w:rPr>
          <w:b/>
          <w:color w:val="1A365D"/>
        </w:rPr>
        <w:t xml:space="preserve">6.  </w:t>
      </w:r>
      <w:r>
        <w:rPr>
          <w:rFonts w:ascii="Inter" w:hAnsi="Inter"/>
          <w:color w:val="222222"/>
          <w:sz w:val="21"/>
        </w:rPr>
        <w:t>Evidencias y evaluación — [columnas 6 y 8] + instrumento (rúbrica P4.1 si aplica)</w:t>
      </w:r>
    </w:p>
    <w:p>
      <w:pPr>
        <w:ind w:left="360"/>
      </w:pPr>
      <w:r>
        <w:rPr>
          <w:b/>
          <w:color w:val="1A365D"/>
        </w:rPr>
        <w:t xml:space="preserve">7.  </w:t>
      </w:r>
      <w:r>
        <w:rPr>
          <w:rFonts w:ascii="Inter" w:hAnsi="Inter"/>
          <w:color w:val="222222"/>
          <w:sz w:val="21"/>
        </w:rPr>
        <w:t>Producto del periodo — [derivado de la situación]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Plantilla 2 · Sesión de aprendizaje</w:t>
      </w:r>
    </w:p>
    <w:p>
      <w:pPr>
        <w:ind w:left="360"/>
      </w:pPr>
      <w:r>
        <w:rPr>
          <w:b/>
          <w:color w:val="1A365D"/>
        </w:rPr>
        <w:t xml:space="preserve">1.  </w:t>
      </w:r>
      <w:r>
        <w:rPr>
          <w:rFonts w:ascii="Inter" w:hAnsi="Inter"/>
          <w:color w:val="222222"/>
          <w:sz w:val="21"/>
        </w:rPr>
        <w:t>Datos + propósito de la sesión — [fila y celda de columna 7 elegida; propósito desde 4-5]</w:t>
      </w:r>
    </w:p>
    <w:p>
      <w:pPr>
        <w:ind w:left="360"/>
      </w:pPr>
      <w:r>
        <w:rPr>
          <w:b/>
          <w:color w:val="1A365D"/>
        </w:rPr>
        <w:t xml:space="preserve">2.  </w:t>
      </w:r>
      <w:r>
        <w:rPr>
          <w:rFonts w:ascii="Inter" w:hAnsi="Inter"/>
          <w:color w:val="222222"/>
          <w:sz w:val="21"/>
        </w:rPr>
        <w:t>Preparación: ¿qué necesito antes? ¿qué recursos? — [tu contexto]</w:t>
      </w:r>
    </w:p>
    <w:p>
      <w:pPr>
        <w:ind w:left="360"/>
      </w:pPr>
      <w:r>
        <w:rPr>
          <w:b/>
          <w:color w:val="1A365D"/>
        </w:rPr>
        <w:t xml:space="preserve">3.  </w:t>
      </w:r>
      <w:r>
        <w:rPr>
          <w:rFonts w:ascii="Inter" w:hAnsi="Inter"/>
          <w:color w:val="222222"/>
          <w:sz w:val="21"/>
        </w:rPr>
        <w:t>Momentos: inicio (activa saberes previos y presenta el propósito) · desarrollo (la actividad</w:t>
      </w:r>
    </w:p>
    <w:p>
      <w:r>
        <w:rPr>
          <w:rFonts w:ascii="Inter" w:hAnsi="Inter"/>
          <w:color w:val="222222"/>
          <w:sz w:val="21"/>
        </w:rPr>
        <w:t>que produce la evidencia) · cierre (retroalimentación y metacognición) — [columnas 7, 6, 8]</w:t>
      </w:r>
    </w:p>
    <w:p>
      <w:pPr>
        <w:ind w:left="360"/>
      </w:pPr>
      <w:r>
        <w:rPr>
          <w:b/>
          <w:color w:val="1A365D"/>
        </w:rPr>
        <w:t xml:space="preserve">4.  </w:t>
      </w:r>
      <w:r>
        <w:rPr>
          <w:rFonts w:ascii="Inter" w:hAnsi="Inter"/>
          <w:color w:val="222222"/>
          <w:sz w:val="21"/>
        </w:rPr>
        <w:t>Evidencia del día y cómo se valora — [columnas 6 y 5]</w:t>
      </w:r>
    </w:p>
    <w:p>
      <w:pPr>
        <w:ind w:left="360"/>
      </w:pPr>
      <w:r>
        <w:rPr>
          <w:b/>
          <w:color w:val="1A365D"/>
        </w:rPr>
        <w:t xml:space="preserve">5.  </w:t>
      </w:r>
      <w:r>
        <w:rPr>
          <w:rFonts w:ascii="Inter" w:hAnsi="Inter"/>
          <w:color w:val="222222"/>
          <w:sz w:val="21"/>
        </w:rPr>
        <w:t>Atención diferenciada: qué ajusto para quienes están antes/después del nivel — [ítem 10 del cotejo]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Plantilla 3 · Experiencia de aprendizaje</w:t>
      </w:r>
    </w:p>
    <w:p>
      <w:pPr>
        <w:ind w:left="360"/>
      </w:pPr>
      <w:r>
        <w:rPr>
          <w:b/>
          <w:color w:val="1A365D"/>
        </w:rPr>
        <w:t xml:space="preserve">1.  </w:t>
      </w:r>
      <w:r>
        <w:rPr>
          <w:rFonts w:ascii="Inter" w:hAnsi="Inter"/>
          <w:color w:val="222222"/>
          <w:sz w:val="21"/>
        </w:rPr>
        <w:t>Situación significativa (la misma del planeador, protagonista) — [encabezado]</w:t>
      </w:r>
    </w:p>
    <w:p>
      <w:pPr>
        <w:ind w:left="360"/>
      </w:pPr>
      <w:r>
        <w:rPr>
          <w:b/>
          <w:color w:val="1A365D"/>
        </w:rPr>
        <w:t xml:space="preserve">2.  </w:t>
      </w:r>
      <w:r>
        <w:rPr>
          <w:rFonts w:ascii="Inter" w:hAnsi="Inter"/>
          <w:color w:val="222222"/>
          <w:sz w:val="21"/>
        </w:rPr>
        <w:t>Producto integrador — [definido en el planeador]</w:t>
      </w:r>
    </w:p>
    <w:p>
      <w:pPr>
        <w:ind w:left="360"/>
      </w:pPr>
      <w:r>
        <w:rPr>
          <w:b/>
          <w:color w:val="1A365D"/>
        </w:rPr>
        <w:t xml:space="preserve">3.  </w:t>
      </w:r>
      <w:r>
        <w:rPr>
          <w:rFonts w:ascii="Inter" w:hAnsi="Inter"/>
          <w:color w:val="222222"/>
          <w:sz w:val="21"/>
        </w:rPr>
        <w:t>Propósitos por área (tabla: área × competencia × desempeños × criterios) — [filas de 2+ áreas]</w:t>
      </w:r>
    </w:p>
    <w:p>
      <w:pPr>
        <w:ind w:left="360"/>
      </w:pPr>
      <w:r>
        <w:rPr>
          <w:b/>
          <w:color w:val="1A365D"/>
        </w:rPr>
        <w:t xml:space="preserve">4.  </w:t>
      </w:r>
      <w:r>
        <w:rPr>
          <w:rFonts w:ascii="Inter" w:hAnsi="Inter"/>
          <w:color w:val="222222"/>
          <w:sz w:val="21"/>
        </w:rPr>
        <w:t>Ruta de actividades (secuencia articulada entre áreas) — [columna 7 de las filas involucradas]</w:t>
      </w:r>
    </w:p>
    <w:p>
      <w:pPr>
        <w:ind w:left="360"/>
      </w:pPr>
      <w:r>
        <w:rPr>
          <w:b/>
          <w:color w:val="1A365D"/>
        </w:rPr>
        <w:t xml:space="preserve">5.  </w:t>
      </w:r>
      <w:r>
        <w:rPr>
          <w:rFonts w:ascii="Inter" w:hAnsi="Inter"/>
          <w:color w:val="222222"/>
          <w:sz w:val="21"/>
        </w:rPr>
        <w:t>Evidencias y retroalimentación por hito — [columnas 6 y 8]</w:t>
      </w:r>
    </w:p>
    <w:p>
      <w:r>
        <w:rPr>
          <w:rFonts w:ascii="Inter" w:hAnsi="Inter"/>
          <w:b/>
          <w:color w:val="222222"/>
          <w:sz w:val="21"/>
        </w:rPr>
        <w:t>🔍 Rutina de trazabilidad (al pie de las tres plantillas):</w:t>
      </w:r>
      <w:r>
        <w:rPr>
          <w:rFonts w:ascii="Inter" w:hAnsi="Inter"/>
          <w:color w:val="222222"/>
          <w:sz w:val="21"/>
        </w:rPr>
        <w:t xml:space="preserve"> elige 3 elementos al azar de la</w:t>
      </w:r>
    </w:p>
    <w:p>
      <w:r>
        <w:rPr>
          <w:rFonts w:ascii="Inter" w:hAnsi="Inter"/>
          <w:color w:val="222222"/>
          <w:sz w:val="21"/>
        </w:rPr>
        <w:t>salida y rastrea cada uno hasta su celda del planeador. ¿Alguno no tiene origen? Bórralo o llévalo</w:t>
      </w:r>
    </w:p>
    <w:p>
      <w:r>
        <w:rPr>
          <w:rFonts w:ascii="Inter" w:hAnsi="Inter"/>
          <w:color w:val="222222"/>
          <w:sz w:val="21"/>
        </w:rPr>
        <w:t>primero al planeador. Ese es todo el control de calidad que un revisor externo hará — hazlo tú</w:t>
      </w:r>
    </w:p>
    <w:p>
      <w:r>
        <w:rPr>
          <w:rFonts w:ascii="Inter" w:hAnsi="Inter"/>
          <w:color w:val="222222"/>
          <w:sz w:val="21"/>
        </w:rPr>
        <w:t>primero.</w:t>
      </w:r>
    </w:p>
    <w:p/>
    <w:sectPr w:rsidR="00FC693F" w:rsidRPr="0006063C" w:rsidSect="00034616">
      <w:headerReference w:type="default" r:id="rId9"/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i/>
        <w:color w:val="5A5A5A"/>
        <w:sz w:val="14"/>
      </w:rPr>
      <w:t>Verificado contra los documentos oficiales públicos del MINEDU · No es una publicación del MINEDU ni cuenta con su aval · Atenea Grupo Educativo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8275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752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