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tipo_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rriweather" w:hAnsi="Merriweather"/>
          <w:b/>
          <w:color w:val="D4AF37"/>
          <w:sz w:val="26"/>
        </w:rPr>
        <w:t>Kit PlanifiKIA Perú</w:t>
      </w:r>
    </w:p>
    <w:p>
      <w:pPr>
        <w:jc w:val="center"/>
      </w:pPr>
      <w:r>
        <w:rPr>
          <w:rFonts w:ascii="Merriweather" w:hAnsi="Merriweather"/>
          <w:b/>
          <w:color w:val="1A365D"/>
          <w:sz w:val="44"/>
        </w:rPr>
        <w:t>Experiencia de aprendizaje integrada</w:t>
      </w:r>
    </w:p>
    <w:p>
      <w:pPr>
        <w:jc w:val="center"/>
      </w:pPr>
      <w:r>
        <w:rPr>
          <w:rFonts w:ascii="Inter" w:hAnsi="Inter"/>
          <w:color w:val="5A5A5A"/>
          <w:sz w:val="24"/>
        </w:rPr>
        <w:t>Matemática + Personal Social 5.º</w:t>
      </w:r>
    </w:p>
    <w:p/>
    <w:p/>
    <w:p>
      <w:pPr>
        <w:jc w:val="center"/>
      </w:pPr>
      <w:r>
        <w:rPr>
          <w:i/>
          <w:color w:val="5A5A5A"/>
          <w:sz w:val="18"/>
        </w:rPr>
        <w:t>Atenea Grupo Educativo  ·  Currículo Nacional de la Educación Básica</w:t>
      </w:r>
    </w:p>
    <w:p>
      <w:r>
        <w:br w:type="page"/>
      </w:r>
    </w:p>
    <w:p>
      <w:pPr>
        <w:spacing w:before="280" w:after="160"/>
        <w:pBdr>
          <w:bottom w:val="single" w:sz="6" w:space="4" w:color="D4AF37"/>
        </w:pBdr>
      </w:pPr>
      <w:r>
        <w:rPr>
          <w:rFonts w:ascii="Merriweather" w:hAnsi="Merriweather"/>
          <w:b/>
          <w:color w:val="1A365D"/>
          <w:sz w:val="30"/>
        </w:rPr>
        <w:t>P3.3 · Ejemplo completo — experiencia de aprendizaje integrada</w:t>
      </w:r>
    </w:p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Matemática + Personal Social · 5.º grado (ciclo V) · "El presupuesto de mi familia para la feria"</w:t>
      </w:r>
    </w:p>
    <w:p>
      <w:r>
        <w:rPr>
          <w:rFonts w:ascii="Inter" w:hAnsi="Inter"/>
          <w:color w:val="222222"/>
          <w:sz w:val="21"/>
        </w:rPr>
        <w:t xml:space="preserve">La experiencia de aprendizaje es la vista </w:t>
      </w:r>
      <w:r>
        <w:rPr>
          <w:rFonts w:ascii="Inter" w:hAnsi="Inter"/>
          <w:b/>
          <w:color w:val="222222"/>
          <w:sz w:val="21"/>
        </w:rPr>
        <w:t>integrada</w:t>
      </w:r>
      <w:r>
        <w:rPr>
          <w:rFonts w:ascii="Inter" w:hAnsi="Inter"/>
          <w:color w:val="222222"/>
          <w:sz w:val="21"/>
        </w:rPr>
        <w:t xml:space="preserve"> del planeador: una situación</w:t>
      </w:r>
    </w:p>
    <w:p>
      <w:r>
        <w:rPr>
          <w:rFonts w:ascii="Inter" w:hAnsi="Inter"/>
          <w:color w:val="222222"/>
          <w:sz w:val="21"/>
        </w:rPr>
        <w:t>significativa real que moviliza desempeños de dos o más áreas hacia un producto. No es "otra</w:t>
      </w:r>
    </w:p>
    <w:p>
      <w:r>
        <w:rPr>
          <w:rFonts w:ascii="Inter" w:hAnsi="Inter"/>
          <w:color w:val="222222"/>
          <w:sz w:val="21"/>
        </w:rPr>
        <w:t>planificación más" — es el mismo planeador con dos filas de áreas distintas.</w:t>
      </w:r>
    </w:p>
    <w:p>
      <w:pPr>
        <w:ind w:left="432"/>
        <w:pBdr>
          <w:left w:val="single" w:sz="18" w:space="8" w:color="D4AF37"/>
        </w:pBdr>
      </w:pPr>
      <w:r>
        <w:rPr>
          <w:rFonts w:ascii="Inter" w:hAnsi="Inter"/>
          <w:color w:val="5A5A5A"/>
          <w:sz w:val="20"/>
        </w:rPr>
        <w:t xml:space="preserve">● </w:t>
      </w:r>
      <w:r>
        <w:rPr>
          <w:rFonts w:ascii="Inter" w:hAnsi="Inter"/>
          <w:i/>
          <w:color w:val="5A5A5A"/>
          <w:sz w:val="20"/>
        </w:rPr>
        <w:t>¿Cuándo integrar?</w:t>
      </w:r>
      <w:r>
        <w:rPr>
          <w:rFonts w:ascii="Inter" w:hAnsi="Inter"/>
          <w:color w:val="5A5A5A"/>
          <w:sz w:val="20"/>
        </w:rPr>
        <w:t xml:space="preserve"> Cuando la situación pide las dos áreas de verdad. Un presupuesto</w:t>
      </w:r>
    </w:p>
    <w:p>
      <w:pPr>
        <w:ind w:left="432"/>
        <w:pBdr>
          <w:left w:val="single" w:sz="18" w:space="8" w:color="D4AF37"/>
        </w:pBdr>
      </w:pPr>
      <w:r>
        <w:rPr>
          <w:rFonts w:ascii="Inter" w:hAnsi="Inter"/>
          <w:color w:val="5A5A5A"/>
          <w:sz w:val="20"/>
        </w:rPr>
        <w:t>familiar ES matemática Y educación económica a la vez — no hay que forzar nada. Si la</w:t>
      </w:r>
    </w:p>
    <w:p>
      <w:pPr>
        <w:ind w:left="432"/>
        <w:pBdr>
          <w:left w:val="single" w:sz="18" w:space="8" w:color="D4AF37"/>
        </w:pBdr>
      </w:pPr>
      <w:r>
        <w:rPr>
          <w:rFonts w:ascii="Inter" w:hAnsi="Inter"/>
          <w:color w:val="5A5A5A"/>
          <w:sz w:val="20"/>
        </w:rPr>
        <w:t>conexión se siente pegada con cinta, vuelve a la unidad de un área (regla de P2.1).</w:t>
      </w:r>
    </w:p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1. El planeador (dos filas, una situación)</w:t>
      </w:r>
    </w:p>
    <w:p>
      <w:r>
        <w:rPr>
          <w:rFonts w:ascii="Inter" w:hAnsi="Inter"/>
          <w:b/>
          <w:color w:val="222222"/>
          <w:sz w:val="21"/>
        </w:rPr>
        <w:t>Situación significativa:</w:t>
      </w:r>
      <w:r>
        <w:rPr>
          <w:rFonts w:ascii="Inter" w:hAnsi="Inter"/>
          <w:color w:val="222222"/>
          <w:sz w:val="21"/>
        </w:rPr>
        <w:t xml:space="preserve"> "Se acerca la feria escolar del aniversario. Cada familia del aula</w:t>
      </w:r>
    </w:p>
    <w:p>
      <w:r>
        <w:rPr>
          <w:rFonts w:ascii="Inter" w:hAnsi="Inter"/>
          <w:color w:val="222222"/>
          <w:sz w:val="21"/>
        </w:rPr>
        <w:t>decide con cuánto participa: qué prepara, cuánto invierte, a cómo vende y qué hará con lo que</w:t>
      </w:r>
    </w:p>
    <w:p>
      <w:r>
        <w:rPr>
          <w:rFonts w:ascii="Inter" w:hAnsi="Inter"/>
          <w:color w:val="222222"/>
          <w:sz w:val="21"/>
        </w:rPr>
        <w:t>gane. ¿Cómo armamos un presupuesto que no haga perder plata a nuestra familia — y qué nos dice</w:t>
      </w:r>
    </w:p>
    <w:p>
      <w:r>
        <w:rPr>
          <w:rFonts w:ascii="Inter" w:hAnsi="Inter"/>
          <w:color w:val="222222"/>
          <w:sz w:val="21"/>
        </w:rPr>
        <w:t>la publicidad de la feria sobre lo que 'conviene' comprar?"</w:t>
      </w:r>
    </w:p>
    <w:p>
      <w:r>
        <w:rPr>
          <w:rFonts w:ascii="Inter" w:hAnsi="Inter"/>
          <w:b/>
          <w:color w:val="222222"/>
          <w:sz w:val="21"/>
        </w:rPr>
        <w:t>Producto integrador:</w:t>
      </w:r>
      <w:r>
        <w:rPr>
          <w:rFonts w:ascii="Inter" w:hAnsi="Inter"/>
          <w:color w:val="222222"/>
          <w:sz w:val="21"/>
        </w:rPr>
        <w:t xml:space="preserve"> el "plan de feria" familiar: presupuesto completo (costos, precio,</w:t>
      </w:r>
    </w:p>
    <w:p>
      <w:r>
        <w:rPr>
          <w:rFonts w:ascii="Inter" w:hAnsi="Inter"/>
          <w:color w:val="222222"/>
          <w:sz w:val="21"/>
        </w:rPr>
        <w:t>punto de equilibrio simple) + un análisis de una publicidad real + un plan de ahorro de lo</w:t>
      </w:r>
    </w:p>
    <w:p>
      <w:r>
        <w:rPr>
          <w:rFonts w:ascii="Inter" w:hAnsi="Inter"/>
          <w:color w:val="222222"/>
          <w:sz w:val="21"/>
        </w:rPr>
        <w:t>ganado.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Fila Matemática 5.º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Fila Personal Social 5.º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Competencia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Resuelve problemas de cantidad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Gestiona responsablemente los recursos económicos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Desempeños (paráfrasis + ref.: Programa Curricular, págs. 240-241 y 108)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Traducir las situaciones del presupuesto a operaciones (incluye fracciones al repartir ganancias y dividir insumos); expresar el valor posicional en cantidades de hasta seis cifras al proyectar ventas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Explicar cómo participan personas, empresas y Estado en el proceso económico; argumentar la importancia del ahorro y del pago de deudas; representar cómo influye la publicidad en las decisiones de consumo; elaborar un plan de ahorro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Criterios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"Calculo costos, precios y ganancias, y justifico mis cuentas"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"Explico quiénes participan en la economía de la feria, detecto cómo me habla la publicidad y armo un plan de ahorro realista"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Evidencia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Las cuentas del plan de feria (con dos representaciones)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El análisis de publicidad + el plan de ahorro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Retroalimentación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Revisión de borrador del presupuesto en la semana 2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Galería de análisis de publicidad con comentarios entre pares</w:t>
            </w:r>
          </w:p>
        </w:tc>
      </w:tr>
    </w:tbl>
    <w:p/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2. La ruta de actividades (3 semanas, articulada)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b/>
          <w:color w:val="222222"/>
          <w:sz w:val="21"/>
        </w:rPr>
        <w:t>Semana 1 — Entender el juego económico:</w:t>
      </w:r>
      <w:r>
        <w:rPr>
          <w:rFonts w:ascii="Inter" w:hAnsi="Inter"/>
          <w:color w:val="222222"/>
          <w:sz w:val="21"/>
        </w:rPr>
        <w:t xml:space="preserve"> ¿quiénes participan en la feria? (PS: agentes</w:t>
      </w:r>
    </w:p>
    <w:p>
      <w:r>
        <w:rPr>
          <w:rFonts w:ascii="Inter" w:hAnsi="Inter"/>
          <w:color w:val="222222"/>
          <w:sz w:val="21"/>
        </w:rPr>
        <w:t>económicos con los roles reales del aniversario). Costeo de insumos con precios reales del</w:t>
      </w:r>
    </w:p>
    <w:p>
      <w:r>
        <w:rPr>
          <w:rFonts w:ascii="Inter" w:hAnsi="Inter"/>
          <w:color w:val="222222"/>
          <w:sz w:val="21"/>
        </w:rPr>
        <w:t>mercado (MAT: operaciones, seis cifras si se proyecta el total de la feria).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b/>
          <w:color w:val="222222"/>
          <w:sz w:val="21"/>
        </w:rPr>
        <w:t>Semana 2 — Armar el presupuesto:</w:t>
      </w:r>
      <w:r>
        <w:rPr>
          <w:rFonts w:ascii="Inter" w:hAnsi="Inter"/>
          <w:color w:val="222222"/>
          <w:sz w:val="21"/>
        </w:rPr>
        <w:t xml:space="preserve"> precio de venta, ganancia por unidad, reparto de la</w:t>
      </w:r>
    </w:p>
    <w:p>
      <w:r>
        <w:rPr>
          <w:rFonts w:ascii="Inter" w:hAnsi="Inter"/>
          <w:color w:val="222222"/>
          <w:sz w:val="21"/>
        </w:rPr>
        <w:t>inversión entre los miembros (MAT: fracciones al repartir). ¿Qué dice la publicidad de</w:t>
      </w:r>
    </w:p>
    <w:p>
      <w:r>
        <w:rPr>
          <w:rFonts w:ascii="Inter" w:hAnsi="Inter"/>
          <w:color w:val="222222"/>
          <w:sz w:val="21"/>
        </w:rPr>
        <w:t>productos parecidos? (PS: análisis de un anuncio real llevado al aula).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b/>
          <w:color w:val="222222"/>
          <w:sz w:val="21"/>
        </w:rPr>
        <w:t>Semana 3 — Decidir y presentar:</w:t>
      </w:r>
      <w:r>
        <w:rPr>
          <w:rFonts w:ascii="Inter" w:hAnsi="Inter"/>
          <w:color w:val="222222"/>
          <w:sz w:val="21"/>
        </w:rPr>
        <w:t xml:space="preserve"> punto de equilibrio simple ("¿cuántos tenemos que vender</w:t>
      </w:r>
    </w:p>
    <w:p>
      <w:r>
        <w:rPr>
          <w:rFonts w:ascii="Inter" w:hAnsi="Inter"/>
          <w:color w:val="222222"/>
          <w:sz w:val="21"/>
        </w:rPr>
        <w:t>para no perder?"), plan de ahorro de la ganancia (PS + MAT), presentación del plan de feria a</w:t>
      </w:r>
    </w:p>
    <w:p>
      <w:r>
        <w:rPr>
          <w:rFonts w:ascii="Inter" w:hAnsi="Inter"/>
          <w:color w:val="222222"/>
          <w:sz w:val="21"/>
        </w:rPr>
        <w:t>las familias.</w:t>
      </w:r>
    </w:p>
    <w:p>
      <w:pPr>
        <w:ind w:left="432"/>
        <w:pBdr>
          <w:left w:val="single" w:sz="18" w:space="8" w:color="D4AF37"/>
        </w:pBdr>
      </w:pPr>
      <w:r>
        <w:rPr>
          <w:rFonts w:ascii="Inter" w:hAnsi="Inter"/>
          <w:color w:val="5A5A5A"/>
          <w:sz w:val="20"/>
        </w:rPr>
        <w:t xml:space="preserve">● </w:t>
      </w:r>
      <w:r>
        <w:rPr>
          <w:rFonts w:ascii="Inter" w:hAnsi="Inter"/>
          <w:i/>
          <w:color w:val="5A5A5A"/>
          <w:sz w:val="20"/>
        </w:rPr>
        <w:t>Nota de honestidad curricular:</w:t>
      </w:r>
      <w:r>
        <w:rPr>
          <w:rFonts w:ascii="Inter" w:hAnsi="Inter"/>
          <w:color w:val="5A5A5A"/>
          <w:sz w:val="20"/>
        </w:rPr>
        <w:t xml:space="preserve"> cada actividad de la ruta se rastrea a un desempeño de</w:t>
      </w:r>
    </w:p>
    <w:p>
      <w:pPr>
        <w:ind w:left="432"/>
        <w:pBdr>
          <w:left w:val="single" w:sz="18" w:space="8" w:color="D4AF37"/>
        </w:pBdr>
      </w:pPr>
      <w:r>
        <w:rPr>
          <w:rFonts w:ascii="Inter" w:hAnsi="Inter"/>
          <w:color w:val="5A5A5A"/>
          <w:sz w:val="20"/>
        </w:rPr>
        <w:t>una de las dos filas. Si una actividad no se rastrea a ninguno ("hacer la pancarta más</w:t>
      </w:r>
    </w:p>
    <w:p>
      <w:pPr>
        <w:ind w:left="432"/>
        <w:pBdr>
          <w:left w:val="single" w:sz="18" w:space="8" w:color="D4AF37"/>
        </w:pBdr>
      </w:pPr>
      <w:r>
        <w:rPr>
          <w:rFonts w:ascii="Inter" w:hAnsi="Inter"/>
          <w:color w:val="5A5A5A"/>
          <w:sz w:val="20"/>
        </w:rPr>
        <w:t>bonita"), puede quedarse — pero como logística, no como aprendizaje evaluado. La rutina de</w:t>
      </w:r>
    </w:p>
    <w:p>
      <w:pPr>
        <w:ind w:left="432"/>
        <w:pBdr>
          <w:left w:val="single" w:sz="18" w:space="8" w:color="D4AF37"/>
        </w:pBdr>
      </w:pPr>
      <w:r>
        <w:rPr>
          <w:rFonts w:ascii="Inter" w:hAnsi="Inter"/>
          <w:color w:val="5A5A5A"/>
          <w:sz w:val="20"/>
        </w:rPr>
        <w:t>trazabilidad (P2.3) también aplica aquí.</w:t>
      </w:r>
    </w:p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3. Lo que este ejemplo enseña del método</w:t>
      </w:r>
    </w:p>
    <w:p>
      <w:pPr>
        <w:ind w:left="360"/>
      </w:pPr>
      <w:r>
        <w:rPr>
          <w:b/>
          <w:color w:val="1A365D"/>
        </w:rPr>
        <w:t xml:space="preserve">1.  </w:t>
      </w:r>
      <w:r>
        <w:rPr>
          <w:rFonts w:ascii="Inter" w:hAnsi="Inter"/>
          <w:color w:val="222222"/>
          <w:sz w:val="21"/>
        </w:rPr>
        <w:t xml:space="preserve">La experiencia salió del </w:t>
      </w:r>
      <w:r>
        <w:rPr>
          <w:rFonts w:ascii="Inter" w:hAnsi="Inter"/>
          <w:b/>
          <w:color w:val="222222"/>
          <w:sz w:val="21"/>
        </w:rPr>
        <w:t>mismo planeador</w:t>
      </w:r>
      <w:r>
        <w:rPr>
          <w:rFonts w:ascii="Inter" w:hAnsi="Inter"/>
          <w:color w:val="222222"/>
          <w:sz w:val="21"/>
        </w:rPr>
        <w:t xml:space="preserve"> — cero documentos nuevos desde cero.</w:t>
      </w:r>
    </w:p>
    <w:p>
      <w:pPr>
        <w:ind w:left="360"/>
      </w:pPr>
      <w:r>
        <w:rPr>
          <w:b/>
          <w:color w:val="1A365D"/>
        </w:rPr>
        <w:t xml:space="preserve">2.  </w:t>
      </w:r>
      <w:r>
        <w:rPr>
          <w:rFonts w:ascii="Inter" w:hAnsi="Inter"/>
          <w:color w:val="222222"/>
          <w:sz w:val="21"/>
        </w:rPr>
        <w:t xml:space="preserve">La integración fue </w:t>
      </w:r>
      <w:r>
        <w:rPr>
          <w:rFonts w:ascii="Inter" w:hAnsi="Inter"/>
          <w:b/>
          <w:color w:val="222222"/>
          <w:sz w:val="21"/>
        </w:rPr>
        <w:t>por la situación</w:t>
      </w:r>
      <w:r>
        <w:rPr>
          <w:rFonts w:ascii="Inter" w:hAnsi="Inter"/>
          <w:color w:val="222222"/>
          <w:sz w:val="21"/>
        </w:rPr>
        <w:t>, no por decreto: las dos áreas se necesitaban.</w:t>
      </w:r>
    </w:p>
    <w:p>
      <w:pPr>
        <w:ind w:left="360"/>
      </w:pPr>
      <w:r>
        <w:rPr>
          <w:b/>
          <w:color w:val="1A365D"/>
        </w:rPr>
        <w:t xml:space="preserve">3.  </w:t>
      </w:r>
      <w:r>
        <w:rPr>
          <w:rFonts w:ascii="Inter" w:hAnsi="Inter"/>
          <w:color w:val="222222"/>
          <w:sz w:val="21"/>
        </w:rPr>
        <w:t>La evaluación siguió siendo formativa y por área: cada fila conservó sus criterios y</w:t>
      </w:r>
    </w:p>
    <w:p>
      <w:r>
        <w:rPr>
          <w:rFonts w:ascii="Inter" w:hAnsi="Inter"/>
          <w:color w:val="222222"/>
          <w:sz w:val="21"/>
        </w:rPr>
        <w:t>evidencias — integrar la experiencia no significa licuar la evaluación.</w:t>
      </w:r>
    </w:p>
    <w:p/>
    <w:sectPr w:rsidR="00FC693F" w:rsidRPr="0006063C" w:rsidSect="00034616">
      <w:headerReference w:type="default" r:id="rId9"/>
      <w:footerReference w:type="default" r:id="rId11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i/>
        <w:color w:val="5A5A5A"/>
        <w:sz w:val="14"/>
      </w:rPr>
      <w:t>Verificado contra los documentos oficiales públicos del MINEDU · No es una publicación del MINEDU ni cuenta con su aval · Atenea Grupo Educativo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68275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2752" cy="25603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