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091B" w14:textId="77777777" w:rsidR="008C4EA3" w:rsidRDefault="00000000">
      <w:pPr>
        <w:spacing w:before="1800" w:after="400"/>
        <w:jc w:val="center"/>
      </w:pPr>
      <w:r>
        <w:rPr>
          <w:noProof/>
        </w:rPr>
        <w:drawing>
          <wp:inline distT="0" distB="0" distL="0" distR="0" wp14:anchorId="309BD7E9" wp14:editId="65B6E4E0">
            <wp:extent cx="32385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0E9" w14:textId="77777777" w:rsidR="008C4EA3" w:rsidRDefault="00000000">
      <w:pPr>
        <w:spacing w:after="240"/>
        <w:jc w:val="center"/>
      </w:pPr>
      <w:r>
        <w:rPr>
          <w:rFonts w:ascii="Merriweather" w:eastAsia="Merriweather" w:hAnsi="Merriweather" w:cs="Merriweather"/>
          <w:b/>
          <w:bCs/>
          <w:color w:val="1A365D"/>
          <w:sz w:val="48"/>
          <w:szCs w:val="48"/>
        </w:rPr>
        <w:t>Ejemplo · Contexto rural</w:t>
      </w:r>
    </w:p>
    <w:p w14:paraId="4DDFDC03" w14:textId="77777777" w:rsidR="008C4EA3" w:rsidRPr="00E45AE5" w:rsidRDefault="00000000">
      <w:pPr>
        <w:spacing w:after="900"/>
        <w:jc w:val="center"/>
        <w:rPr>
          <w:b/>
          <w:bCs/>
        </w:rPr>
      </w:pPr>
      <w:r w:rsidRPr="00E45AE5">
        <w:rPr>
          <w:rFonts w:ascii="Inter" w:eastAsia="Inter" w:hAnsi="Inter" w:cs="Inter"/>
          <w:b/>
          <w:bCs/>
          <w:i/>
          <w:iCs/>
          <w:color w:val="5A5A5A"/>
          <w:sz w:val="26"/>
          <w:szCs w:val="26"/>
        </w:rPr>
        <w:t>Programa analítico completo de una primaria rural (fase 4)</w:t>
      </w:r>
    </w:p>
    <w:p w14:paraId="2A3B517D" w14:textId="77777777" w:rsidR="00E45AE5" w:rsidRDefault="00E45AE5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054FC27B" w14:textId="77777777" w:rsidR="00E45AE5" w:rsidRDefault="00E45AE5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616CD560" w14:textId="77777777" w:rsidR="00E45AE5" w:rsidRDefault="00E45AE5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41D74515" w14:textId="77777777" w:rsidR="00E45AE5" w:rsidRDefault="00E45AE5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</w:p>
    <w:p w14:paraId="6E9BFDB4" w14:textId="27429EEA" w:rsidR="00E45AE5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Kit Programa Analítico NEM · </w:t>
      </w:r>
    </w:p>
    <w:p w14:paraId="4B0760CD" w14:textId="751981F8" w:rsidR="00E45AE5" w:rsidRDefault="00000000">
      <w:pPr>
        <w:jc w:val="center"/>
        <w:rPr>
          <w:rFonts w:ascii="Inter" w:eastAsia="Inter" w:hAnsi="Inter" w:cs="Inter"/>
          <w:b/>
          <w:bCs/>
          <w:color w:val="1A365D"/>
          <w:sz w:val="22"/>
          <w:szCs w:val="22"/>
        </w:rPr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>Contenidos transcritos y verificados</w:t>
      </w:r>
    </w:p>
    <w:p w14:paraId="2008491E" w14:textId="3F94D049" w:rsidR="008C4EA3" w:rsidRDefault="00000000">
      <w:pPr>
        <w:jc w:val="center"/>
      </w:pPr>
      <w:r>
        <w:rPr>
          <w:rFonts w:ascii="Inter" w:eastAsia="Inter" w:hAnsi="Inter" w:cs="Inter"/>
          <w:b/>
          <w:bCs/>
          <w:color w:val="1A365D"/>
          <w:sz w:val="22"/>
          <w:szCs w:val="22"/>
        </w:rPr>
        <w:t xml:space="preserve"> contra los documentos oficiales públicos</w:t>
      </w:r>
    </w:p>
    <w:p w14:paraId="6C4B4B6B" w14:textId="77777777" w:rsidR="00E45AE5" w:rsidRDefault="00E45AE5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51A08A00" w14:textId="77777777" w:rsidR="00E45AE5" w:rsidRDefault="00E45AE5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6AD3CF13" w14:textId="77777777" w:rsidR="00E45AE5" w:rsidRDefault="00E45AE5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7AC49E01" w14:textId="77777777" w:rsidR="00E45AE5" w:rsidRDefault="00E45AE5">
      <w:pPr>
        <w:spacing w:before="500"/>
        <w:jc w:val="center"/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</w:pPr>
    </w:p>
    <w:p w14:paraId="78E9B832" w14:textId="5ABC097B" w:rsidR="008C4EA3" w:rsidRPr="00E45AE5" w:rsidRDefault="00000000">
      <w:pPr>
        <w:spacing w:before="500"/>
        <w:jc w:val="center"/>
        <w:rPr>
          <w:b/>
          <w:bCs/>
        </w:rPr>
      </w:pPr>
      <w:r w:rsidRPr="00E45AE5">
        <w:rPr>
          <w:rFonts w:ascii="Merriweather" w:eastAsia="Merriweather" w:hAnsi="Merriweather" w:cs="Merriweather"/>
          <w:b/>
          <w:bCs/>
          <w:i/>
          <w:iCs/>
          <w:color w:val="E05A47"/>
          <w:sz w:val="22"/>
          <w:szCs w:val="22"/>
        </w:rPr>
        <w:t>Menos desgaste administrativo. Más tiempo para enseñar.</w:t>
      </w:r>
    </w:p>
    <w:p w14:paraId="394C4E20" w14:textId="77777777" w:rsidR="008C4EA3" w:rsidRDefault="00000000">
      <w:r>
        <w:br w:type="page"/>
      </w:r>
    </w:p>
    <w:p w14:paraId="3F5DF41F" w14:textId="77777777" w:rsidR="008C4EA3" w:rsidRDefault="00000000">
      <w:pPr>
        <w:pStyle w:val="Ttulo1"/>
        <w:spacing w:before="300" w:after="140"/>
      </w:pPr>
      <w:r>
        <w:rPr>
          <w:rFonts w:ascii="Merriweather" w:eastAsia="Merriweather" w:hAnsi="Merriweather" w:cs="Merriweather"/>
          <w:b/>
          <w:bCs/>
          <w:color w:val="1A365D"/>
          <w:sz w:val="28"/>
          <w:szCs w:val="28"/>
        </w:rPr>
        <w:lastRenderedPageBreak/>
        <w:t>Ejemplo completo · Programa Analítico — Contexto RURAL</w:t>
      </w:r>
    </w:p>
    <w:p w14:paraId="126B2294" w14:textId="77777777" w:rsidR="008C4EA3" w:rsidRDefault="00000000" w:rsidP="00E45AE5">
      <w:pPr>
        <w:spacing w:after="20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>Escuela primaria rural, fase 4 (3º-4º)</w:t>
      </w:r>
    </w:p>
    <w:p w14:paraId="331A4F06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Kit Programa Analítico NEM · Pieza 3 de 5 · Atenea Grupo Educativo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</w:t>
      </w:r>
      <w:r>
        <w:rPr>
          <w:rFonts w:ascii="Inter" w:eastAsia="Inter" w:hAnsi="Inter" w:cs="Inter"/>
          <w:i/>
          <w:iCs/>
          <w:color w:val="444444"/>
          <w:sz w:val="22"/>
          <w:szCs w:val="22"/>
        </w:rPr>
        <w:t>Escuela ficticia pero verosímil. Compara con el ejemplo urbano: misma estructura, MISMOS contenidos oficiales del banco — decisiones distintas porque la realidad es distinta. Eso es el método.</w:t>
      </w:r>
    </w:p>
    <w:p w14:paraId="1356690E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Escuela "Emiliano Zapata" · Comunidad agrícola de la Sierra · 6 grupos, organización completa pequeña · Colectivo: 6 docentes + dirección · Sin internet en la escuela; señal celular intermitente · Elaborado en CTE de agosto; revisiones: noviembre y marzo.</w:t>
      </w:r>
    </w:p>
    <w:p w14:paraId="750909B0" w14:textId="77777777" w:rsidR="008C4EA3" w:rsidRDefault="00000000" w:rsidP="00E45AE5">
      <w:pPr>
        <w:pStyle w:val="Ttulo2"/>
        <w:spacing w:before="22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1 · Lectura de la realidad</w:t>
      </w:r>
    </w:p>
    <w:p w14:paraId="76C58957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Contexto: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comunidad de 900 habitantes; agricultura de temporal (maíz, frijol, calabaza — la milpa es economía y cultura viva); 30% de familias con migración estacional a otros estados; náhuatl hablado por abuelos, en retroceso entre los niños; sin internet escolar, materiales solo impresos.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Aprendizajes: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grupos pequeños con fuerte heterogeneidad; lectura: rezago concentrado en alumnos que faltan en temporada de cosecha; matemáticas: cálculo mental fuerte (mercado semanal), escritura de números de varias cifras débil.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Intereses (cuestionario):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los animales del monte, la siembra, "por qué se secó el arroyo", las fiestas patronales, los caballos. </w:t>
      </w:r>
      <w:r>
        <w:rPr>
          <w:rFonts w:ascii="Inter" w:eastAsia="Inter" w:hAnsi="Inter" w:cs="Inter"/>
          <w:b/>
          <w:bCs/>
          <w:color w:val="222222"/>
          <w:sz w:val="22"/>
          <w:szCs w:val="22"/>
        </w:rPr>
        <w:t>Retos priorizados: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(1) sostener el aprendizaje de quienes faltan por cosecha; (2) escritura y lectura de números grandes; (3) valorar el náhuatl y los saberes de los abuelos antes de que se pierdan; (4) el agua de la comunidad como problema real de estudio.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4EA3" w14:paraId="1BBF54C8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2B7BC" w14:textId="38994965" w:rsidR="008C4EA3" w:rsidRDefault="00000000" w:rsidP="0080316E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la milpa aquí no es "tema para contextualizar" — es la vida de las familias. </w:t>
            </w:r>
            <w:r w:rsidRPr="0080316E">
              <w:rPr>
                <w:rFonts w:eastAsia="Inter"/>
                <w:color w:val="222222"/>
              </w:rPr>
              <w:t xml:space="preserve">Y </w:t>
            </w:r>
            <w:r w:rsidR="0080316E">
              <w:rPr>
                <w:rFonts w:eastAsia="Inter"/>
                <w:color w:val="222222"/>
              </w:rPr>
              <w:t>el reto</w:t>
            </w:r>
            <w:r w:rsidR="0080316E" w:rsidRPr="0080316E">
              <w:rPr>
                <w:rFonts w:eastAsia="Inter"/>
                <w:color w:val="222222"/>
              </w:rPr>
              <w:t xml:space="preserve"> 1 (ausencias por cosecha) es un dolor que ningún programa nacional resuelve por sí solo: el colectivo decide </w:t>
            </w:r>
            <w:proofErr w:type="gramStart"/>
            <w:r w:rsidR="0080316E" w:rsidRPr="0080316E">
              <w:rPr>
                <w:rFonts w:eastAsia="Inter"/>
                <w:color w:val="222222"/>
              </w:rPr>
              <w:t>cómo.*</w:t>
            </w:r>
            <w:proofErr w:type="gramEnd"/>
          </w:p>
        </w:tc>
      </w:tr>
    </w:tbl>
    <w:p w14:paraId="162439F3" w14:textId="77777777" w:rsidR="008C4EA3" w:rsidRDefault="008C4EA3" w:rsidP="00E45AE5">
      <w:pPr>
        <w:spacing w:after="80" w:line="276" w:lineRule="auto"/>
        <w:jc w:val="both"/>
      </w:pPr>
    </w:p>
    <w:p w14:paraId="712DA13E" w14:textId="77777777" w:rsidR="008C4EA3" w:rsidRDefault="00000000">
      <w:pPr>
        <w:pStyle w:val="Ttulo2"/>
        <w:spacing w:before="220" w:after="140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2 · Contextualización — muestra de los 4 campos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C4EA3" w14:paraId="335DB516" w14:textId="77777777" w:rsidTr="00E45AE5">
        <w:trPr>
          <w:tblHeader/>
        </w:trPr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C6D3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Contenido (citado del banco)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B7DDE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8992B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Cómo queda aquí</w:t>
            </w:r>
          </w:p>
        </w:tc>
        <w:tc>
          <w:tcPr>
            <w:tcW w:w="2340" w:type="dxa"/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8F9A3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8C4EA3" w14:paraId="539B07AA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8E2C9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[Lenguajes]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Comprensión y producción de textos discontinuos para organizar actividades y ordenar información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11208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DB505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Los calendarios y tablas organizan la siembra y la cosecha (calendarización real de la milpa)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63AD0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1 + interés "siembra"</w:t>
            </w:r>
          </w:p>
        </w:tc>
      </w:tr>
      <w:tr w:rsidR="008C4EA3" w14:paraId="4288AAC5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1F73F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[Lenguajes]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(Incorporado)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Recopilación de palabras y relatos en náhuatl con los abuelos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71AB4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incorpora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85E1C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Cuaderno comunitario de palabras y relatos; conecta con historia oral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F0F3F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3</w:t>
            </w:r>
          </w:p>
        </w:tc>
      </w:tr>
      <w:tr w:rsidR="008C4EA3" w14:paraId="02A412E0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C1AF7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[Saberes]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Estudio de los números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32F93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4FCEF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Números de cuatro cifras con kilos y precios de la cosecha; el cálculo mental fuerte del grupo se hace puente hacia la escritura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83131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2 (diagnóstico)</w:t>
            </w:r>
          </w:p>
        </w:tc>
      </w:tr>
      <w:tr w:rsidR="008C4EA3" w14:paraId="04DCD137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4C868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[Saberes]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Medición de longitud, masa y capacidad </w:t>
            </w:r>
            <w:r>
              <w:rPr>
                <w:rFonts w:ascii="Inter" w:eastAsia="Inter" w:hAnsi="Inter" w:cs="Inter"/>
                <w:i/>
                <w:iCs/>
                <w:color w:val="222222"/>
                <w:sz w:val="18"/>
                <w:szCs w:val="18"/>
              </w:rPr>
              <w:t>(PDA solo 3º, diseño oficial)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91DFD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06C84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Medición real en la parcela escolar: surcos, costales, litros de agua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FFCA9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Interés "siembra"</w:t>
            </w:r>
          </w:p>
        </w:tc>
      </w:tr>
      <w:tr w:rsidR="008C4EA3" w14:paraId="185723B1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2DB16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[Ética]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Interculturalidad y sustentabilidad (cultura de la Milpa y el Maíz)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BA5FF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mantiene con énfasis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BFAA7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programa oficial ES la realidad local; se le da el mayor peso del trimestre 1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BE2C4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Contexto milpero + reto 3</w:t>
            </w:r>
          </w:p>
        </w:tc>
      </w:tr>
      <w:tr w:rsidR="008C4EA3" w14:paraId="0734BD52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0F066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[Ética]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Cuidado de los ecosistemas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3749C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D72AA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El estudio del arroyo seco: causas, consecuencias, acciones comunitarias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4D679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Interés "arroyo" + reto 4</w:t>
            </w:r>
          </w:p>
        </w:tc>
      </w:tr>
      <w:tr w:rsidR="008C4EA3" w14:paraId="210C0F9E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B2B5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[Humano]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La comunidad como el espacio en el que se vive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77AE8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2F61D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Cartografía comunitaria con los abuelos como informantes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89C97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Reto 3</w:t>
            </w:r>
          </w:p>
        </w:tc>
      </w:tr>
      <w:tr w:rsidR="008C4EA3" w14:paraId="45FA009C" w14:textId="77777777" w:rsidTr="00E45AE5"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FF42B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[Humano]</w:t>
            </w:r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 xml:space="preserve"> Situaciones de riesgo social en la comunidad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6F24E" w14:textId="77777777" w:rsidR="008C4EA3" w:rsidRDefault="00000000">
            <w:r>
              <w:rPr>
                <w:rFonts w:ascii="Inter" w:eastAsia="Inter" w:hAnsi="Inter" w:cs="Inter"/>
                <w:b/>
                <w:bCs/>
                <w:color w:val="222222"/>
                <w:sz w:val="18"/>
                <w:szCs w:val="18"/>
              </w:rPr>
              <w:t>Se contextualiza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A8EA0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Trabajo sobre la migración estacional: qué pasa cuando las familias se van</w:t>
            </w:r>
          </w:p>
        </w:tc>
        <w:tc>
          <w:tcPr>
            <w:tcW w:w="23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E665E" w14:textId="77777777" w:rsidR="008C4EA3" w:rsidRDefault="00000000">
            <w:r>
              <w:rPr>
                <w:rFonts w:ascii="Inter" w:eastAsia="Inter" w:hAnsi="Inter" w:cs="Inter"/>
                <w:color w:val="222222"/>
                <w:sz w:val="18"/>
                <w:szCs w:val="18"/>
              </w:rPr>
              <w:t>30% migración estacional</w:t>
            </w:r>
          </w:p>
        </w:tc>
      </w:tr>
    </w:tbl>
    <w:p w14:paraId="22F6400F" w14:textId="77777777" w:rsidR="008C4EA3" w:rsidRDefault="008C4EA3">
      <w:pPr>
        <w:spacing w:after="80"/>
      </w:pP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4EA3" w14:paraId="2972D0A4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43BB1" w14:textId="595FA3C0" w:rsidR="008C4EA3" w:rsidRDefault="00000000" w:rsidP="0080316E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fíjate en la diferencia con el ejemplo urbano — "Interculturalidad y</w:t>
            </w:r>
            <w:r w:rsidR="0080316E">
              <w:rPr>
                <w:rFonts w:ascii="Inter" w:eastAsia="Inter" w:hAnsi="Inter" w:cs="Inter"/>
                <w:color w:val="222222"/>
              </w:rPr>
              <w:t xml:space="preserve"> </w:t>
            </w:r>
            <w:r w:rsidR="0080316E" w:rsidRPr="0080316E">
              <w:rPr>
                <w:rFonts w:ascii="Inter" w:eastAsia="Inter" w:hAnsi="Inter" w:cs="Inter"/>
                <w:color w:val="222222"/>
              </w:rPr>
              <w:t xml:space="preserve">sustentabilidad" allá se contextualiza desde el mercado; aquí SE MANTIENE con énfasis porque el programa oficial coincide con la vida local. La decisión </w:t>
            </w:r>
            <w:proofErr w:type="spellStart"/>
            <w:r w:rsidR="0080316E" w:rsidRPr="0080316E">
              <w:rPr>
                <w:rFonts w:ascii="Inter" w:eastAsia="Inter" w:hAnsi="Inter" w:cs="Inter"/>
                <w:color w:val="222222"/>
              </w:rPr>
              <w:t>trinaria</w:t>
            </w:r>
            <w:proofErr w:type="spellEnd"/>
            <w:r w:rsidR="0080316E" w:rsidRPr="0080316E">
              <w:rPr>
                <w:rFonts w:ascii="Inter" w:eastAsia="Inter" w:hAnsi="Inter" w:cs="Inter"/>
                <w:color w:val="222222"/>
              </w:rPr>
              <w:t xml:space="preserve"> no es mecánica: es lectura de la </w:t>
            </w:r>
            <w:proofErr w:type="gramStart"/>
            <w:r w:rsidR="0080316E" w:rsidRPr="0080316E">
              <w:rPr>
                <w:rFonts w:ascii="Inter" w:eastAsia="Inter" w:hAnsi="Inter" w:cs="Inter"/>
                <w:color w:val="222222"/>
              </w:rPr>
              <w:t>realidad.</w:t>
            </w:r>
            <w:r w:rsidR="0080316E">
              <w:rPr>
                <w:rFonts w:ascii="Inter" w:eastAsia="Inter" w:hAnsi="Inter" w:cs="Inter"/>
                <w:color w:val="222222"/>
              </w:rPr>
              <w:t>*</w:t>
            </w:r>
            <w:proofErr w:type="gramEnd"/>
          </w:p>
        </w:tc>
      </w:tr>
    </w:tbl>
    <w:p w14:paraId="34BAE72A" w14:textId="77777777" w:rsidR="008C4EA3" w:rsidRDefault="008C4EA3">
      <w:pPr>
        <w:spacing w:after="80"/>
      </w:pPr>
    </w:p>
    <w:p w14:paraId="03E1AB5D" w14:textId="77777777" w:rsidR="008C4EA3" w:rsidRDefault="00000000" w:rsidP="00E45AE5">
      <w:pPr>
        <w:pStyle w:val="Ttulo2"/>
        <w:spacing w:before="220" w:after="140" w:line="276" w:lineRule="auto"/>
        <w:jc w:val="both"/>
      </w:pPr>
      <w:r>
        <w:rPr>
          <w:rFonts w:ascii="Merriweather" w:eastAsia="Merriweather" w:hAnsi="Merriweather" w:cs="Merriweather"/>
          <w:b/>
          <w:bCs/>
          <w:color w:val="D4AF37"/>
          <w:sz w:val="24"/>
          <w:szCs w:val="24"/>
        </w:rPr>
        <w:t>PLANO 3 · Formulación (síntesis)</w:t>
      </w:r>
    </w:p>
    <w:p w14:paraId="0377BA79" w14:textId="77777777" w:rsidR="008C4EA3" w:rsidRDefault="00000000" w:rsidP="00E45AE5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Secuenciación: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T1 "nuestra milpa" (coincide con el ciclo agrícola real — Saberes + Ética);</w:t>
      </w:r>
    </w:p>
    <w:p w14:paraId="23396EF6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T2 "el agua y el monte" (el arroyo como proyecto de indagación); T3 "la memoria de la   comunidad" (náhuatl, historia oral, cartografía con abuelos).</w:t>
      </w:r>
    </w:p>
    <w:p w14:paraId="6D629401" w14:textId="77777777" w:rsidR="008C4EA3" w:rsidRDefault="00000000" w:rsidP="00E45AE5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Estrategia para el reto 1 (ausencias por cosecha):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cuadernillos autocontenidos e imprimibles</w:t>
      </w:r>
    </w:p>
    <w:p w14:paraId="79D4E16C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por quincena — el alumno que falta se lleva su cuadernillo (requisito offline del contexto).</w:t>
      </w:r>
    </w:p>
    <w:p w14:paraId="76D8DE33" w14:textId="77777777" w:rsidR="008C4EA3" w:rsidRDefault="00000000" w:rsidP="00E45AE5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Metodologías: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aprendizaje basado en la comunidad como columna; los abuelos como </w:t>
      </w:r>
      <w:proofErr w:type="spellStart"/>
      <w:r>
        <w:rPr>
          <w:rFonts w:ascii="Inter" w:eastAsia="Inter" w:hAnsi="Inter" w:cs="Inter"/>
          <w:color w:val="222222"/>
          <w:sz w:val="22"/>
          <w:szCs w:val="22"/>
        </w:rPr>
        <w:t>co-educadores</w:t>
      </w:r>
      <w:proofErr w:type="spellEnd"/>
      <w:r>
        <w:rPr>
          <w:rFonts w:ascii="Inter" w:eastAsia="Inter" w:hAnsi="Inter" w:cs="Inter"/>
          <w:color w:val="222222"/>
          <w:sz w:val="22"/>
          <w:szCs w:val="22"/>
        </w:rPr>
        <w:t>.</w:t>
      </w:r>
    </w:p>
    <w:p w14:paraId="78D12F01" w14:textId="77777777" w:rsidR="008C4EA3" w:rsidRDefault="00000000" w:rsidP="00E45AE5">
      <w:pPr>
        <w:spacing w:after="90" w:line="276" w:lineRule="auto"/>
        <w:ind w:left="360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Ejes activados: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interculturalidad crítica (náhuatl, saberes campesinos), vida saludable</w:t>
      </w:r>
    </w:p>
    <w:p w14:paraId="0C052989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color w:val="222222"/>
          <w:sz w:val="22"/>
          <w:szCs w:val="22"/>
        </w:rPr>
        <w:t xml:space="preserve">  (alimentos de la milpa), pensamiento crítico (el arroyo). Sin adornos.</w:t>
      </w:r>
    </w:p>
    <w:tbl>
      <w:tblPr>
        <w:tblW w:w="9360" w:type="dxa"/>
        <w:tblBorders>
          <w:top w:val="single" w:sz="4" w:space="0" w:color="D4AF37"/>
          <w:left w:val="single" w:sz="16" w:space="0" w:color="D4AF37"/>
          <w:bottom w:val="single" w:sz="4" w:space="0" w:color="D4AF3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4EA3" w14:paraId="3AC427FE" w14:textId="77777777">
        <w:tc>
          <w:tcPr>
            <w:tcW w:w="9360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71D19" w14:textId="6B6DC059" w:rsidR="008C4EA3" w:rsidRDefault="00000000" w:rsidP="0080316E">
            <w:pPr>
              <w:spacing w:after="140" w:line="276" w:lineRule="auto"/>
              <w:jc w:val="both"/>
            </w:pPr>
            <w:r>
              <w:rPr>
                <w:rFonts w:ascii="Segoe UI Emoji" w:eastAsia="Inter" w:hAnsi="Segoe UI Emoji" w:cs="Segoe UI Emoji"/>
                <w:color w:val="222222"/>
              </w:rPr>
              <w:t>💭</w:t>
            </w:r>
            <w:r>
              <w:rPr>
                <w:rFonts w:ascii="Inter" w:eastAsia="Inter" w:hAnsi="Inter" w:cs="Inter"/>
                <w:color w:val="222222"/>
              </w:rPr>
              <w:t xml:space="preserve"> *Por qué así: la secuenciación sigue el calendario agrícola — la decisión de temporalidad </w:t>
            </w:r>
            <w:r w:rsidR="0080316E">
              <w:rPr>
                <w:rFonts w:ascii="Inter" w:eastAsia="Inter" w:hAnsi="Inter" w:cs="Inter"/>
                <w:color w:val="222222"/>
              </w:rPr>
              <w:t>más importante del</w:t>
            </w:r>
            <w:r w:rsidR="0080316E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año</w:t>
            </w:r>
            <w:r w:rsidR="0080316E">
              <w:rPr>
                <w:rFonts w:ascii="Inter" w:eastAsia="Inter" w:hAnsi="Inter" w:cs="Inter"/>
                <w:color w:val="222222"/>
                <w:sz w:val="22"/>
                <w:szCs w:val="22"/>
              </w:rPr>
              <w:t xml:space="preserve"> no salió de un formato, salió de mirar cuándo pueden aprender los </w:t>
            </w:r>
            <w:proofErr w:type="gramStart"/>
            <w:r w:rsidR="0080316E">
              <w:rPr>
                <w:rFonts w:ascii="Inter" w:eastAsia="Inter" w:hAnsi="Inter" w:cs="Inter"/>
                <w:color w:val="222222"/>
                <w:sz w:val="22"/>
                <w:szCs w:val="22"/>
              </w:rPr>
              <w:t>niños.*</w:t>
            </w:r>
            <w:proofErr w:type="gramEnd"/>
          </w:p>
        </w:tc>
      </w:tr>
    </w:tbl>
    <w:p w14:paraId="123F01EF" w14:textId="77777777" w:rsidR="008C4EA3" w:rsidRDefault="008C4EA3" w:rsidP="00E45AE5">
      <w:pPr>
        <w:spacing w:after="80" w:line="276" w:lineRule="auto"/>
        <w:jc w:val="both"/>
      </w:pPr>
    </w:p>
    <w:p w14:paraId="472BA5A2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b/>
          <w:bCs/>
          <w:color w:val="222222"/>
          <w:sz w:val="22"/>
          <w:szCs w:val="22"/>
        </w:rPr>
        <w:t>Cierre "Antes pensaba / Ahora pienso" del colectivo:</w:t>
      </w:r>
      <w:r>
        <w:rPr>
          <w:rFonts w:ascii="Inter" w:eastAsia="Inter" w:hAnsi="Inter" w:cs="Inter"/>
          <w:color w:val="222222"/>
          <w:sz w:val="22"/>
          <w:szCs w:val="22"/>
        </w:rPr>
        <w:t xml:space="preserve"> "Antes pensábamos que nuestra escuela tenía carencias frente a las urbanas; ahora pensamos que tenemos un aula que ellas no tienen: la milpa, el monte y los abuelos."</w:t>
      </w:r>
    </w:p>
    <w:p w14:paraId="707E1941" w14:textId="77777777" w:rsidR="008C4EA3" w:rsidRDefault="00000000" w:rsidP="00E45AE5">
      <w:pPr>
        <w:spacing w:after="140" w:line="276" w:lineRule="auto"/>
        <w:jc w:val="both"/>
      </w:pPr>
      <w:r>
        <w:rPr>
          <w:rFonts w:ascii="Inter" w:eastAsia="Inter" w:hAnsi="Inter" w:cs="Inter"/>
          <w:i/>
          <w:iCs/>
          <w:color w:val="444444"/>
          <w:sz w:val="22"/>
          <w:szCs w:val="22"/>
        </w:rPr>
        <w:t>Compara este ejemplo con el urbano y el multigrado: mismos contenidos oficiales, tres realidades, tres programas analíticos distintos — y los tres correctos.</w:t>
      </w:r>
    </w:p>
    <w:sectPr w:rsidR="008C4EA3" w:rsidSect="00E45AE5">
      <w:headerReference w:type="default" r:id="rId8"/>
      <w:footerReference w:type="first" r:id="rId9"/>
      <w:pgSz w:w="12240" w:h="15840"/>
      <w:pgMar w:top="1200" w:right="1440" w:bottom="120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701C" w14:textId="77777777" w:rsidR="00AC7169" w:rsidRDefault="00AC7169">
      <w:r>
        <w:separator/>
      </w:r>
    </w:p>
  </w:endnote>
  <w:endnote w:type="continuationSeparator" w:id="0">
    <w:p w14:paraId="04EEF857" w14:textId="77777777" w:rsidR="00AC7169" w:rsidRDefault="00AC7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7638769"/>
      <w:docPartObj>
        <w:docPartGallery w:val="Page Numbers (Bottom of Page)"/>
        <w:docPartUnique/>
      </w:docPartObj>
    </w:sdtPr>
    <w:sdtContent>
      <w:p w14:paraId="79604372" w14:textId="34CDF70F" w:rsidR="00E45AE5" w:rsidRDefault="00E45AE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3043F7" w14:textId="77777777" w:rsidR="00E45AE5" w:rsidRDefault="00E45A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3A7D" w14:textId="77777777" w:rsidR="00AC7169" w:rsidRDefault="00AC7169">
      <w:r>
        <w:separator/>
      </w:r>
    </w:p>
  </w:footnote>
  <w:footnote w:type="continuationSeparator" w:id="0">
    <w:p w14:paraId="35E9469E" w14:textId="77777777" w:rsidR="00AC7169" w:rsidRDefault="00AC7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8B124" w14:textId="77777777" w:rsidR="008C4EA3" w:rsidRDefault="00000000">
    <w:pPr>
      <w:pBdr>
        <w:bottom w:val="single" w:sz="8" w:space="4" w:color="D4AF37"/>
      </w:pBdr>
      <w:tabs>
        <w:tab w:val="right" w:pos="9026"/>
      </w:tabs>
    </w:pPr>
    <w:r>
      <w:rPr>
        <w:noProof/>
      </w:rPr>
      <w:drawing>
        <wp:inline distT="0" distB="0" distL="0" distR="0" wp14:anchorId="20D4DC14" wp14:editId="210B9F6B">
          <wp:extent cx="914400" cy="342900"/>
          <wp:effectExtent l="0" t="0" r="0" b="0"/>
          <wp:docPr id="213545170" name="Imagen 213545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eastAsia="Inter" w:hAnsi="Inter" w:cs="Inter"/>
        <w:b/>
        <w:bCs/>
        <w:color w:val="1A365D"/>
      </w:rPr>
      <w:tab/>
      <w:t>Ejemplo · Contexto rural · Kit Programa Analítico NEM</w:t>
    </w:r>
    <w:r>
      <w:rPr>
        <w:noProof/>
      </w:rPr>
      <w:drawing>
        <wp:anchor distT="0" distB="0" distL="0" distR="0" simplePos="0" relativeHeight="3619500" behindDoc="1" locked="0" layoutInCell="1" allowOverlap="1" wp14:anchorId="55EF8F88" wp14:editId="62622F1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l="0" t="0" r="0" b="0"/>
          <wp:wrapNone/>
          <wp:docPr id="1108816498" name="Imagen 11088164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0E1D"/>
    <w:multiLevelType w:val="hybridMultilevel"/>
    <w:tmpl w:val="ACD62F18"/>
    <w:lvl w:ilvl="0" w:tplc="2C4E2D20">
      <w:start w:val="1"/>
      <w:numFmt w:val="bullet"/>
      <w:lvlText w:val="●"/>
      <w:lvlJc w:val="left"/>
      <w:pPr>
        <w:ind w:left="720" w:hanging="360"/>
      </w:pPr>
    </w:lvl>
    <w:lvl w:ilvl="1" w:tplc="7AD23062">
      <w:start w:val="1"/>
      <w:numFmt w:val="bullet"/>
      <w:lvlText w:val="○"/>
      <w:lvlJc w:val="left"/>
      <w:pPr>
        <w:ind w:left="1440" w:hanging="360"/>
      </w:pPr>
    </w:lvl>
    <w:lvl w:ilvl="2" w:tplc="A3E88308">
      <w:start w:val="1"/>
      <w:numFmt w:val="bullet"/>
      <w:lvlText w:val="■"/>
      <w:lvlJc w:val="left"/>
      <w:pPr>
        <w:ind w:left="2160" w:hanging="360"/>
      </w:pPr>
    </w:lvl>
    <w:lvl w:ilvl="3" w:tplc="5B24F1F4">
      <w:start w:val="1"/>
      <w:numFmt w:val="bullet"/>
      <w:lvlText w:val="●"/>
      <w:lvlJc w:val="left"/>
      <w:pPr>
        <w:ind w:left="2880" w:hanging="360"/>
      </w:pPr>
    </w:lvl>
    <w:lvl w:ilvl="4" w:tplc="D1624AF4">
      <w:start w:val="1"/>
      <w:numFmt w:val="bullet"/>
      <w:lvlText w:val="○"/>
      <w:lvlJc w:val="left"/>
      <w:pPr>
        <w:ind w:left="3600" w:hanging="360"/>
      </w:pPr>
    </w:lvl>
    <w:lvl w:ilvl="5" w:tplc="D4FA0524">
      <w:start w:val="1"/>
      <w:numFmt w:val="bullet"/>
      <w:lvlText w:val="■"/>
      <w:lvlJc w:val="left"/>
      <w:pPr>
        <w:ind w:left="4320" w:hanging="360"/>
      </w:pPr>
    </w:lvl>
    <w:lvl w:ilvl="6" w:tplc="A650C07E">
      <w:start w:val="1"/>
      <w:numFmt w:val="bullet"/>
      <w:lvlText w:val="●"/>
      <w:lvlJc w:val="left"/>
      <w:pPr>
        <w:ind w:left="5040" w:hanging="360"/>
      </w:pPr>
    </w:lvl>
    <w:lvl w:ilvl="7" w:tplc="45BCB1CA">
      <w:start w:val="1"/>
      <w:numFmt w:val="bullet"/>
      <w:lvlText w:val="●"/>
      <w:lvlJc w:val="left"/>
      <w:pPr>
        <w:ind w:left="5760" w:hanging="360"/>
      </w:pPr>
    </w:lvl>
    <w:lvl w:ilvl="8" w:tplc="16366D86">
      <w:start w:val="1"/>
      <w:numFmt w:val="bullet"/>
      <w:lvlText w:val="●"/>
      <w:lvlJc w:val="left"/>
      <w:pPr>
        <w:ind w:left="6480" w:hanging="360"/>
      </w:pPr>
    </w:lvl>
  </w:abstractNum>
  <w:num w:numId="1" w16cid:durableId="739211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EA3"/>
    <w:rsid w:val="0080316E"/>
    <w:rsid w:val="008C4EA3"/>
    <w:rsid w:val="00AC7169"/>
    <w:rsid w:val="00B472AE"/>
    <w:rsid w:val="00D96AB9"/>
    <w:rsid w:val="00E45AE5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6EC24"/>
  <w15:docId w15:val="{DCEC07BE-0BD3-45EB-9ED7-16F94144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45A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5AE5"/>
  </w:style>
  <w:style w:type="paragraph" w:styleId="Piedepgina">
    <w:name w:val="footer"/>
    <w:basedOn w:val="Normal"/>
    <w:link w:val="PiedepginaCar"/>
    <w:uiPriority w:val="99"/>
    <w:unhideWhenUsed/>
    <w:rsid w:val="00E45AE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803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Castilla Luna</cp:lastModifiedBy>
  <cp:revision>3</cp:revision>
  <dcterms:created xsi:type="dcterms:W3CDTF">2026-07-18T16:13:00Z</dcterms:created>
  <dcterms:modified xsi:type="dcterms:W3CDTF">2026-07-18T20:04:00Z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9133c1d6-4b00-4ae9-a7f1-8119f34c98ce</vt:lpwstr>
  </property>
</Properties>
</file>