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0857C" w14:textId="77777777" w:rsidR="00B17D50" w:rsidRDefault="00000000">
      <w:pPr>
        <w:spacing w:before="1800" w:after="400"/>
        <w:jc w:val="center"/>
      </w:pPr>
      <w:r>
        <w:rPr>
          <w:noProof/>
        </w:rPr>
        <w:drawing>
          <wp:inline distT="0" distB="0" distL="0" distR="0" wp14:anchorId="5755079B" wp14:editId="7411AEE1">
            <wp:extent cx="3238500" cy="1219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9686" w14:textId="77777777" w:rsidR="00B17D50" w:rsidRDefault="00000000">
      <w:pPr>
        <w:spacing w:after="240"/>
        <w:jc w:val="center"/>
      </w:pPr>
      <w:r>
        <w:rPr>
          <w:rFonts w:ascii="Merriweather" w:eastAsia="Merriweather" w:hAnsi="Merriweather" w:cs="Merriweather"/>
          <w:b/>
          <w:bCs/>
          <w:color w:val="1A365D"/>
          <w:sz w:val="48"/>
          <w:szCs w:val="48"/>
        </w:rPr>
        <w:t>Ejemplo · Multigrado</w:t>
      </w:r>
    </w:p>
    <w:p w14:paraId="52648086" w14:textId="77777777" w:rsidR="00B17D50" w:rsidRPr="00193853" w:rsidRDefault="00000000">
      <w:pPr>
        <w:spacing w:after="900"/>
        <w:jc w:val="center"/>
        <w:rPr>
          <w:b/>
          <w:bCs/>
        </w:rPr>
      </w:pPr>
      <w:r w:rsidRPr="00193853">
        <w:rPr>
          <w:rFonts w:ascii="Inter" w:eastAsia="Inter" w:hAnsi="Inter" w:cs="Inter"/>
          <w:b/>
          <w:bCs/>
          <w:i/>
          <w:iCs/>
          <w:color w:val="5A5A5A"/>
          <w:sz w:val="26"/>
          <w:szCs w:val="26"/>
        </w:rPr>
        <w:t>Un docente, dos fases: tema común con PDA diferenciados</w:t>
      </w:r>
    </w:p>
    <w:p w14:paraId="7448C712" w14:textId="77777777" w:rsidR="00193853" w:rsidRDefault="00193853">
      <w:pPr>
        <w:jc w:val="center"/>
        <w:rPr>
          <w:rFonts w:ascii="Inter" w:eastAsia="Inter" w:hAnsi="Inter" w:cs="Inter"/>
          <w:b/>
          <w:bCs/>
          <w:color w:val="1A365D"/>
          <w:sz w:val="22"/>
          <w:szCs w:val="22"/>
        </w:rPr>
      </w:pPr>
    </w:p>
    <w:p w14:paraId="4321F8B6" w14:textId="77777777" w:rsidR="00193853" w:rsidRDefault="00193853">
      <w:pPr>
        <w:jc w:val="center"/>
        <w:rPr>
          <w:rFonts w:ascii="Inter" w:eastAsia="Inter" w:hAnsi="Inter" w:cs="Inter"/>
          <w:b/>
          <w:bCs/>
          <w:color w:val="1A365D"/>
          <w:sz w:val="22"/>
          <w:szCs w:val="22"/>
        </w:rPr>
      </w:pPr>
    </w:p>
    <w:p w14:paraId="3FD79B87" w14:textId="77777777" w:rsidR="00193853" w:rsidRDefault="00193853">
      <w:pPr>
        <w:jc w:val="center"/>
        <w:rPr>
          <w:rFonts w:ascii="Inter" w:eastAsia="Inter" w:hAnsi="Inter" w:cs="Inter"/>
          <w:b/>
          <w:bCs/>
          <w:color w:val="1A365D"/>
          <w:sz w:val="22"/>
          <w:szCs w:val="22"/>
        </w:rPr>
      </w:pPr>
    </w:p>
    <w:p w14:paraId="08A9A821" w14:textId="094F3CAE" w:rsidR="00193853" w:rsidRDefault="00000000">
      <w:pPr>
        <w:jc w:val="center"/>
        <w:rPr>
          <w:rFonts w:ascii="Inter" w:eastAsia="Inter" w:hAnsi="Inter" w:cs="Inter"/>
          <w:b/>
          <w:bCs/>
          <w:color w:val="1A365D"/>
          <w:sz w:val="22"/>
          <w:szCs w:val="22"/>
        </w:rPr>
      </w:pPr>
      <w:r>
        <w:rPr>
          <w:rFonts w:ascii="Inter" w:eastAsia="Inter" w:hAnsi="Inter" w:cs="Inter"/>
          <w:b/>
          <w:bCs/>
          <w:color w:val="1A365D"/>
          <w:sz w:val="22"/>
          <w:szCs w:val="22"/>
        </w:rPr>
        <w:t xml:space="preserve">Kit Programa Analítico NEM · </w:t>
      </w:r>
    </w:p>
    <w:p w14:paraId="75455FC5" w14:textId="77777777" w:rsidR="00193853" w:rsidRDefault="00000000">
      <w:pPr>
        <w:jc w:val="center"/>
        <w:rPr>
          <w:rFonts w:ascii="Inter" w:eastAsia="Inter" w:hAnsi="Inter" w:cs="Inter"/>
          <w:b/>
          <w:bCs/>
          <w:color w:val="1A365D"/>
          <w:sz w:val="22"/>
          <w:szCs w:val="22"/>
        </w:rPr>
      </w:pPr>
      <w:r>
        <w:rPr>
          <w:rFonts w:ascii="Inter" w:eastAsia="Inter" w:hAnsi="Inter" w:cs="Inter"/>
          <w:b/>
          <w:bCs/>
          <w:color w:val="1A365D"/>
          <w:sz w:val="22"/>
          <w:szCs w:val="22"/>
        </w:rPr>
        <w:t xml:space="preserve">Contenidos transcritos y verificados </w:t>
      </w:r>
    </w:p>
    <w:p w14:paraId="74A37975" w14:textId="6FA3AD89" w:rsidR="00B17D50" w:rsidRDefault="00000000">
      <w:pPr>
        <w:jc w:val="center"/>
      </w:pPr>
      <w:r>
        <w:rPr>
          <w:rFonts w:ascii="Inter" w:eastAsia="Inter" w:hAnsi="Inter" w:cs="Inter"/>
          <w:b/>
          <w:bCs/>
          <w:color w:val="1A365D"/>
          <w:sz w:val="22"/>
          <w:szCs w:val="22"/>
        </w:rPr>
        <w:t>contra los documentos oficiales públicos</w:t>
      </w:r>
    </w:p>
    <w:p w14:paraId="53277829" w14:textId="77777777" w:rsidR="00193853" w:rsidRDefault="00193853">
      <w:pPr>
        <w:spacing w:before="500"/>
        <w:jc w:val="center"/>
        <w:rPr>
          <w:rFonts w:ascii="Merriweather" w:eastAsia="Merriweather" w:hAnsi="Merriweather" w:cs="Merriweather"/>
          <w:i/>
          <w:iCs/>
          <w:color w:val="E05A47"/>
          <w:sz w:val="22"/>
          <w:szCs w:val="22"/>
        </w:rPr>
      </w:pPr>
    </w:p>
    <w:p w14:paraId="377B25ED" w14:textId="77777777" w:rsidR="00193853" w:rsidRDefault="00193853">
      <w:pPr>
        <w:spacing w:before="500"/>
        <w:jc w:val="center"/>
        <w:rPr>
          <w:rFonts w:ascii="Merriweather" w:eastAsia="Merriweather" w:hAnsi="Merriweather" w:cs="Merriweather"/>
          <w:i/>
          <w:iCs/>
          <w:color w:val="E05A47"/>
          <w:sz w:val="22"/>
          <w:szCs w:val="22"/>
        </w:rPr>
      </w:pPr>
    </w:p>
    <w:p w14:paraId="400FEDA9" w14:textId="77777777" w:rsidR="00193853" w:rsidRDefault="00193853">
      <w:pPr>
        <w:spacing w:before="500"/>
        <w:jc w:val="center"/>
        <w:rPr>
          <w:rFonts w:ascii="Merriweather" w:eastAsia="Merriweather" w:hAnsi="Merriweather" w:cs="Merriweather"/>
          <w:i/>
          <w:iCs/>
          <w:color w:val="E05A47"/>
          <w:sz w:val="22"/>
          <w:szCs w:val="22"/>
        </w:rPr>
      </w:pPr>
    </w:p>
    <w:p w14:paraId="02647142" w14:textId="77777777" w:rsidR="00193853" w:rsidRDefault="00193853">
      <w:pPr>
        <w:spacing w:before="500"/>
        <w:jc w:val="center"/>
        <w:rPr>
          <w:rFonts w:ascii="Merriweather" w:eastAsia="Merriweather" w:hAnsi="Merriweather" w:cs="Merriweather"/>
          <w:i/>
          <w:iCs/>
          <w:color w:val="E05A47"/>
          <w:sz w:val="22"/>
          <w:szCs w:val="22"/>
        </w:rPr>
      </w:pPr>
    </w:p>
    <w:p w14:paraId="3E77631B" w14:textId="3E1D3AC5" w:rsidR="00B17D50" w:rsidRDefault="00000000">
      <w:pPr>
        <w:spacing w:before="500"/>
        <w:jc w:val="center"/>
      </w:pPr>
      <w:r>
        <w:rPr>
          <w:rFonts w:ascii="Merriweather" w:eastAsia="Merriweather" w:hAnsi="Merriweather" w:cs="Merriweather"/>
          <w:i/>
          <w:iCs/>
          <w:color w:val="E05A47"/>
          <w:sz w:val="22"/>
          <w:szCs w:val="22"/>
        </w:rPr>
        <w:t>Menos desgaste administrativo. Más tiempo para enseñar.</w:t>
      </w:r>
    </w:p>
    <w:p w14:paraId="0521E857" w14:textId="77777777" w:rsidR="00B17D50" w:rsidRDefault="00000000">
      <w:r>
        <w:br w:type="page"/>
      </w:r>
    </w:p>
    <w:p w14:paraId="00DB09CE" w14:textId="77777777" w:rsidR="00B17D50" w:rsidRDefault="00000000">
      <w:pPr>
        <w:pStyle w:val="Ttulo1"/>
        <w:spacing w:before="300" w:after="140"/>
      </w:pPr>
      <w:r>
        <w:rPr>
          <w:rFonts w:ascii="Merriweather" w:eastAsia="Merriweather" w:hAnsi="Merriweather" w:cs="Merriweather"/>
          <w:b/>
          <w:bCs/>
          <w:color w:val="1A365D"/>
          <w:sz w:val="28"/>
          <w:szCs w:val="28"/>
        </w:rPr>
        <w:lastRenderedPageBreak/>
        <w:t>Ejemplo completo · Programa Analítico — Contexto MULTIGRADO</w:t>
      </w:r>
    </w:p>
    <w:p w14:paraId="6E13E027" w14:textId="77777777" w:rsidR="00B17D50" w:rsidRDefault="00000000" w:rsidP="00193853">
      <w:pPr>
        <w:spacing w:after="200" w:line="276" w:lineRule="auto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>Escuela primaria multigrado (un docente, 1º a 4º), fases 3 y 4</w:t>
      </w:r>
    </w:p>
    <w:p w14:paraId="0B8B1A7B" w14:textId="77777777" w:rsidR="00B17D50" w:rsidRDefault="00000000" w:rsidP="00193853">
      <w:pPr>
        <w:spacing w:after="140" w:line="276" w:lineRule="auto"/>
        <w:jc w:val="both"/>
      </w:pPr>
      <w:r>
        <w:rPr>
          <w:rFonts w:ascii="Inter" w:eastAsia="Inter" w:hAnsi="Inter" w:cs="Inter"/>
          <w:i/>
          <w:iCs/>
          <w:color w:val="444444"/>
          <w:sz w:val="22"/>
          <w:szCs w:val="22"/>
        </w:rPr>
        <w:t>Kit Programa Analítico NEM · Pieza 3 de 5 · Atenea Grupo Educativo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</w:t>
      </w:r>
      <w:r>
        <w:rPr>
          <w:rFonts w:ascii="Inter" w:eastAsia="Inter" w:hAnsi="Inter" w:cs="Inter"/>
          <w:i/>
          <w:iCs/>
          <w:color w:val="444444"/>
          <w:sz w:val="22"/>
          <w:szCs w:val="22"/>
        </w:rPr>
        <w:t>El contexto sin materiales oficiales específicos (lo documentó el propio INEE). Este ejemplo muestra el movimiento clave del multigrado: usar los DOS bancos del kit (fases 3 y 4) sobre un mismo tema común.</w:t>
      </w:r>
    </w:p>
    <w:p w14:paraId="72838552" w14:textId="77777777" w:rsidR="00B17D50" w:rsidRDefault="00000000" w:rsidP="00193853">
      <w:pPr>
        <w:spacing w:after="140" w:line="276" w:lineRule="auto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Escuela "Niños Héroes" · Ranchería de 40 familias · 1 aula, 1 docente, 19 alumnos de 1º a 4º (fases 3 y 4 juntas) · El CTE se hace en la zona escolar, con docentes de otras multigrado · Elaborado en agosto; revisiones: noviembre y marzo.</w:t>
      </w:r>
    </w:p>
    <w:p w14:paraId="3A9E942C" w14:textId="77777777" w:rsidR="00B17D50" w:rsidRDefault="00000000" w:rsidP="00193853">
      <w:pPr>
        <w:pStyle w:val="Ttulo2"/>
        <w:spacing w:before="220" w:after="140" w:line="276" w:lineRule="auto"/>
        <w:jc w:val="both"/>
      </w:pPr>
      <w:r>
        <w:rPr>
          <w:rFonts w:ascii="Merriweather" w:eastAsia="Merriweather" w:hAnsi="Merriweather" w:cs="Merriweather"/>
          <w:b/>
          <w:bCs/>
          <w:color w:val="D4AF37"/>
          <w:sz w:val="24"/>
          <w:szCs w:val="24"/>
        </w:rPr>
        <w:t>PLANO 1 · Lectura de la realidad</w:t>
      </w:r>
    </w:p>
    <w:p w14:paraId="70A73FB6" w14:textId="77777777" w:rsidR="00B17D50" w:rsidRDefault="00000000" w:rsidP="00193853">
      <w:pPr>
        <w:spacing w:after="140" w:line="276" w:lineRule="auto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Contexto: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aula única; edades 6-10 años mezcladas; la maestra atiende ambas fases a la vez; hermanos en el mismo salón; comunidad ganadera y de traspatio; sin conectividad; la escuela es el único espacio público de la ranchería. </w:t>
      </w:r>
      <w:r>
        <w:rPr>
          <w:rFonts w:ascii="Inter" w:eastAsia="Inter" w:hAnsi="Inter" w:cs="Inter"/>
          <w:b/>
          <w:bCs/>
          <w:color w:val="222222"/>
          <w:sz w:val="22"/>
          <w:szCs w:val="22"/>
        </w:rPr>
        <w:t>Aprendizajes: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los grandes ayudan naturalmente a los chicos (tutoría espontánea ya existente); brecha fuerte de lectoescritura entre 1º-2º y 3º-4º; oralidad rica en todos. </w:t>
      </w:r>
      <w:r>
        <w:rPr>
          <w:rFonts w:ascii="Inter" w:eastAsia="Inter" w:hAnsi="Inter" w:cs="Inter"/>
          <w:b/>
          <w:bCs/>
          <w:color w:val="222222"/>
          <w:sz w:val="22"/>
          <w:szCs w:val="22"/>
        </w:rPr>
        <w:t>Intereses (cuestionario, ambas versiones):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los animales del traspatio, "ayudar a enseñar a los chiquitos" (los de 4º), las historias de espantos, el río en secas. </w:t>
      </w:r>
      <w:r>
        <w:rPr>
          <w:rFonts w:ascii="Inter" w:eastAsia="Inter" w:hAnsi="Inter" w:cs="Inter"/>
          <w:b/>
          <w:bCs/>
          <w:color w:val="222222"/>
          <w:sz w:val="22"/>
          <w:szCs w:val="22"/>
        </w:rPr>
        <w:t>Retos priorizados: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(1) planear UNA VEZ para dos fases sin duplicar trabajo; (2) convertir la tutoría espontánea en método; (3) lectoescritura inicial de fase 3 sin desatender a fase 4.</w:t>
      </w: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17D50" w14:paraId="5F9630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42040" w14:textId="63EA1DEE" w:rsidR="00B17D50" w:rsidRDefault="00000000" w:rsidP="00193853">
            <w:pPr>
              <w:spacing w:after="140" w:line="276" w:lineRule="auto"/>
              <w:jc w:val="both"/>
            </w:pPr>
            <w:r>
              <w:rPr>
                <w:rFonts w:ascii="Segoe UI Emoji" w:eastAsia="Inter" w:hAnsi="Segoe UI Emoji" w:cs="Segoe UI Emoji"/>
                <w:color w:val="222222"/>
              </w:rPr>
              <w:t>💭</w:t>
            </w:r>
            <w:r>
              <w:rPr>
                <w:rFonts w:ascii="Inter" w:eastAsia="Inter" w:hAnsi="Inter" w:cs="Inter"/>
                <w:color w:val="222222"/>
              </w:rPr>
              <w:t xml:space="preserve"> *Por qué así: el reto 1 es EL dolor multigrado. La respuesta del colectivo (de zona): tema común</w:t>
            </w:r>
            <w:r w:rsidR="00193853">
              <w:rPr>
                <w:rFonts w:ascii="Inter" w:eastAsia="Inter" w:hAnsi="Inter" w:cs="Inter"/>
                <w:color w:val="222222"/>
              </w:rPr>
              <w:t xml:space="preserve"> </w:t>
            </w:r>
            <w:r w:rsidR="00193853">
              <w:rPr>
                <w:rFonts w:ascii="Inter" w:eastAsia="Inter" w:hAnsi="Inter" w:cs="Inter"/>
                <w:color w:val="222222"/>
                <w:sz w:val="22"/>
                <w:szCs w:val="22"/>
              </w:rPr>
              <w:t>+ PDA diferenciados por fase — exactamente lo que la estructura de los bancos permite hacer. *</w:t>
            </w:r>
          </w:p>
        </w:tc>
      </w:tr>
    </w:tbl>
    <w:p w14:paraId="1FC63B3B" w14:textId="77777777" w:rsidR="00B17D50" w:rsidRDefault="00B17D50" w:rsidP="00193853">
      <w:pPr>
        <w:spacing w:after="80" w:line="276" w:lineRule="auto"/>
        <w:jc w:val="both"/>
      </w:pPr>
    </w:p>
    <w:p w14:paraId="776CDD66" w14:textId="77777777" w:rsidR="00B17D50" w:rsidRDefault="00000000">
      <w:pPr>
        <w:pStyle w:val="Ttulo2"/>
        <w:spacing w:before="220" w:after="140"/>
      </w:pPr>
      <w:r>
        <w:rPr>
          <w:rFonts w:ascii="Merriweather" w:eastAsia="Merriweather" w:hAnsi="Merriweather" w:cs="Merriweather"/>
          <w:b/>
          <w:bCs/>
          <w:color w:val="D4AF37"/>
          <w:sz w:val="24"/>
          <w:szCs w:val="24"/>
        </w:rPr>
        <w:t>PLANO 2 · Contextualización — el movimiento multigrado (tema común, dos fases)</w:t>
      </w:r>
    </w:p>
    <w:p w14:paraId="26767CFB" w14:textId="77777777" w:rsidR="00B17D50" w:rsidRDefault="00000000">
      <w:pPr>
        <w:spacing w:after="140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Tema común del trimestre 1: "Los animales de nuestro traspatio"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17D50" w14:paraId="6C94720B" w14:textId="77777777" w:rsidTr="001938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56474" w14:textId="77777777" w:rsidR="00B17D50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Contenido (citado del banco de cada fase)</w:t>
            </w:r>
          </w:p>
        </w:tc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B839E" w14:textId="77777777" w:rsidR="00B17D50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51732" w14:textId="77777777" w:rsidR="00B17D50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Decisión</w:t>
            </w:r>
          </w:p>
        </w:tc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7A7FC" w14:textId="77777777" w:rsidR="00B17D50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Cómo queda aquí</w:t>
            </w:r>
          </w:p>
        </w:tc>
      </w:tr>
      <w:tr w:rsidR="00B17D50" w14:paraId="661C2FB6" w14:textId="77777777" w:rsidTr="00193853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807CF" w14:textId="77777777" w:rsidR="00B17D50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[Lenguajes F3]</w:t>
            </w:r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 xml:space="preserve"> Escritura de nombres en la lengua materna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054C3" w14:textId="77777777" w:rsidR="00B17D50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F3 (1º-2º)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07809" w14:textId="77777777" w:rsidR="00B17D50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contextualiza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9B7C7" w14:textId="77777777" w:rsidR="00B17D50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Escriben los nombres de sus animales; los comparan y clasifican</w:t>
            </w:r>
          </w:p>
        </w:tc>
      </w:tr>
      <w:tr w:rsidR="00B17D50" w14:paraId="2BB1A896" w14:textId="77777777" w:rsidTr="00193853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F362D" w14:textId="77777777" w:rsidR="00B17D50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[Lenguajes F4]</w:t>
            </w:r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 xml:space="preserve"> Comprensión y producción de textos discontinuos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E4D1D" w14:textId="77777777" w:rsidR="00B17D50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F4 (3º-4º)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13989" w14:textId="77777777" w:rsidR="00B17D50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contextualiza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91B1B" w14:textId="77777777" w:rsidR="00B17D50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Fichas y tablas de los animales: qué comen, cuánto pesan, cuándo nacieron</w:t>
            </w:r>
          </w:p>
        </w:tc>
      </w:tr>
      <w:tr w:rsidR="00B17D50" w14:paraId="380E1DC0" w14:textId="77777777" w:rsidTr="00193853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D4ACC" w14:textId="77777777" w:rsidR="00B17D50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[Saberes F3]</w:t>
            </w:r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Inter" w:eastAsia="Inter" w:hAnsi="Inter" w:cs="Inter"/>
                <w:i/>
                <w:iCs/>
                <w:color w:val="222222"/>
                <w:sz w:val="18"/>
                <w:szCs w:val="18"/>
              </w:rPr>
              <w:t>(banco F3)</w:t>
            </w:r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 xml:space="preserve"> Los animales y plantas del entorno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B58D1" w14:textId="77777777" w:rsidR="00B17D50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F3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B0233" w14:textId="77777777" w:rsidR="00B17D50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contextualiza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021D1" w14:textId="77777777" w:rsidR="00B17D50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Observación directa del traspatio</w:t>
            </w:r>
          </w:p>
        </w:tc>
      </w:tr>
      <w:tr w:rsidR="00B17D50" w14:paraId="0EE73737" w14:textId="77777777" w:rsidTr="00193853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82BE4" w14:textId="77777777" w:rsidR="00B17D50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[Saberes F4]</w:t>
            </w:r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 xml:space="preserve"> Estudio de los números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874D6" w14:textId="77777777" w:rsidR="00B17D50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F4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7199F" w14:textId="77777777" w:rsidR="00B17D50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contextualiza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EC779" w14:textId="77777777" w:rsidR="00B17D50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Conteos, pesos y precios de los animales — con números de cuatro cifras</w:t>
            </w:r>
          </w:p>
        </w:tc>
      </w:tr>
      <w:tr w:rsidR="00B17D50" w14:paraId="1907F354" w14:textId="77777777" w:rsidTr="00193853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DECAE" w14:textId="77777777" w:rsidR="00B17D50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[Ética F4]</w:t>
            </w:r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 xml:space="preserve"> Cuidado de los ecosistemas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DB5C9" w14:textId="77777777" w:rsidR="00B17D50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F4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3D36A" w14:textId="77777777" w:rsidR="00B17D50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contextualiza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2327E" w14:textId="77777777" w:rsidR="00B17D50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El río en secas: qué pasó y qué podemos hacer</w:t>
            </w:r>
          </w:p>
        </w:tc>
      </w:tr>
      <w:tr w:rsidR="00B17D50" w14:paraId="051AA762" w14:textId="77777777" w:rsidTr="00193853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E920A" w14:textId="77777777" w:rsidR="00B17D50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[Humano F3+F4]</w:t>
            </w:r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 xml:space="preserve"> La comunidad como el espacio en el que se vive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57023" w14:textId="77777777" w:rsidR="00B17D50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ambas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BB4C5" w14:textId="77777777" w:rsidR="00B17D50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mantiene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2E367" w14:textId="77777777" w:rsidR="00B17D50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La escuela como centro de la ranchería — se trabaja en asamblea única</w:t>
            </w:r>
          </w:p>
        </w:tc>
      </w:tr>
    </w:tbl>
    <w:p w14:paraId="6A942095" w14:textId="77777777" w:rsidR="00B17D50" w:rsidRDefault="00B17D50">
      <w:pPr>
        <w:spacing w:after="80"/>
      </w:pP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17D50" w14:paraId="1D548993" w14:textId="77777777" w:rsidTr="00193853">
        <w:tblPrEx>
          <w:tblCellMar>
            <w:top w:w="0" w:type="dxa"/>
            <w:bottom w:w="0" w:type="dxa"/>
          </w:tblCellMar>
        </w:tblPrEx>
        <w:trPr>
          <w:trHeight w:val="471"/>
        </w:trPr>
        <w:tc>
          <w:tcPr>
            <w:tcW w:w="936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B7E38" w14:textId="458E8926" w:rsidR="00193853" w:rsidRDefault="00000000" w:rsidP="00193853">
            <w:pPr>
              <w:spacing w:after="140"/>
            </w:pPr>
            <w:r>
              <w:rPr>
                <w:rFonts w:ascii="Inter" w:eastAsia="Inter" w:hAnsi="Inter" w:cs="Inter"/>
                <w:color w:val="222222"/>
              </w:rPr>
              <w:t xml:space="preserve">💭 *Por qué así: una sola situación (el traspatio) activa contenidos de AMBAS fases. La maestra </w:t>
            </w:r>
            <w:r w:rsidR="00193853">
              <w:rPr>
                <w:rFonts w:ascii="Inter" w:eastAsia="Inter" w:hAnsi="Inter" w:cs="Inter"/>
                <w:color w:val="222222"/>
              </w:rPr>
              <w:t>no planea</w:t>
            </w:r>
            <w:r w:rsidR="00193853">
              <w:rPr>
                <w:rFonts w:ascii="Inter" w:eastAsia="Inter" w:hAnsi="Inter" w:cs="Inter"/>
                <w:color w:val="222222"/>
                <w:sz w:val="22"/>
                <w:szCs w:val="22"/>
              </w:rPr>
              <w:t xml:space="preserve"> dos veces: planea un tema y toma de cada banco el contenido y el PDA que </w:t>
            </w:r>
            <w:r w:rsidR="00193853">
              <w:rPr>
                <w:rFonts w:ascii="Inter" w:eastAsia="Inter" w:hAnsi="Inter" w:cs="Inter"/>
                <w:color w:val="222222"/>
                <w:sz w:val="22"/>
                <w:szCs w:val="22"/>
              </w:rPr>
              <w:t>corresponden</w:t>
            </w:r>
            <w:r w:rsidR="00193853">
              <w:rPr>
                <w:rFonts w:ascii="Inter" w:eastAsia="Inter" w:hAnsi="Inter" w:cs="Inter"/>
                <w:color w:val="222222"/>
                <w:sz w:val="22"/>
                <w:szCs w:val="22"/>
              </w:rPr>
              <w:t xml:space="preserve"> a cada grupo. Los bancos del kit están citados por fase exactamente para permitir </w:t>
            </w:r>
            <w:proofErr w:type="gramStart"/>
            <w:r w:rsidR="00193853">
              <w:rPr>
                <w:rFonts w:ascii="Inter" w:eastAsia="Inter" w:hAnsi="Inter" w:cs="Inter"/>
                <w:color w:val="222222"/>
                <w:sz w:val="22"/>
                <w:szCs w:val="22"/>
              </w:rPr>
              <w:t>esto.*</w:t>
            </w:r>
            <w:proofErr w:type="gramEnd"/>
          </w:p>
          <w:p w14:paraId="4FB2E6FE" w14:textId="20961DCF" w:rsidR="00B17D50" w:rsidRDefault="00B17D50"/>
        </w:tc>
      </w:tr>
    </w:tbl>
    <w:p w14:paraId="4F2E8413" w14:textId="77777777" w:rsidR="00B17D50" w:rsidRDefault="00B17D50">
      <w:pPr>
        <w:spacing w:after="80"/>
      </w:pPr>
    </w:p>
    <w:p w14:paraId="43063B69" w14:textId="77777777" w:rsidR="00B17D50" w:rsidRDefault="00000000" w:rsidP="00193853">
      <w:pPr>
        <w:spacing w:after="140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Contenido incorporado (decisión del colectivo de zona):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</w:t>
      </w:r>
      <w:r>
        <w:rPr>
          <w:rFonts w:ascii="Inter" w:eastAsia="Inter" w:hAnsi="Inter" w:cs="Inter"/>
          <w:i/>
          <w:iCs/>
          <w:color w:val="444444"/>
          <w:sz w:val="22"/>
          <w:szCs w:val="22"/>
        </w:rPr>
        <w:t>Tutoría entre pares como práctica formal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— los alumnos de 4º acompañan la lectoescritura de los de 1º con rutinas semanales (responde al reto 2; conecta con "Entendimiento mutuo en la escuela" del banco F4, campo De lo Humano).</w:t>
      </w:r>
    </w:p>
    <w:p w14:paraId="61220E59" w14:textId="77777777" w:rsidR="00B17D50" w:rsidRDefault="00000000" w:rsidP="00193853">
      <w:pPr>
        <w:pStyle w:val="Ttulo2"/>
        <w:spacing w:before="220" w:after="140"/>
        <w:jc w:val="both"/>
      </w:pPr>
      <w:r>
        <w:rPr>
          <w:rFonts w:ascii="Merriweather" w:eastAsia="Merriweather" w:hAnsi="Merriweather" w:cs="Merriweather"/>
          <w:b/>
          <w:bCs/>
          <w:color w:val="D4AF37"/>
          <w:sz w:val="24"/>
          <w:szCs w:val="24"/>
        </w:rPr>
        <w:t>PLANO 3 · Formulación (síntesis)</w:t>
      </w:r>
    </w:p>
    <w:p w14:paraId="728D590D" w14:textId="77777777" w:rsidR="00B17D50" w:rsidRDefault="00000000" w:rsidP="00193853">
      <w:pPr>
        <w:spacing w:after="90"/>
        <w:ind w:left="360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Secuenciación: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T1 "el traspatio" · T2 "el río y el monte" · T3 "nuestra ranchería cuenta su</w:t>
      </w:r>
    </w:p>
    <w:p w14:paraId="339E3711" w14:textId="77777777" w:rsidR="00B17D50" w:rsidRDefault="00000000" w:rsidP="00193853">
      <w:pPr>
        <w:spacing w:after="140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 xml:space="preserve">  historia" — cada trimestre es un tema común con PDA diferenciados por fase.</w:t>
      </w:r>
    </w:p>
    <w:p w14:paraId="57B35E04" w14:textId="77777777" w:rsidR="00B17D50" w:rsidRDefault="00000000" w:rsidP="00193853">
      <w:pPr>
        <w:spacing w:after="90"/>
        <w:ind w:left="360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Organización del aula: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rotación en tres momentos — arranque común (oralidad, todos),</w:t>
      </w:r>
    </w:p>
    <w:p w14:paraId="172AAD4D" w14:textId="77777777" w:rsidR="00B17D50" w:rsidRDefault="00000000" w:rsidP="00193853">
      <w:pPr>
        <w:spacing w:after="140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 xml:space="preserve">  trabajo por fase (PDA propios), cierre común (los grandes presentan, los chicos preguntan).</w:t>
      </w:r>
    </w:p>
    <w:p w14:paraId="5B472163" w14:textId="77777777" w:rsidR="00B17D50" w:rsidRDefault="00000000" w:rsidP="00193853">
      <w:pPr>
        <w:spacing w:after="90"/>
        <w:ind w:left="360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Metodologías: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tutoría entre pares formalizada + proyectos comunitarios.</w:t>
      </w:r>
    </w:p>
    <w:p w14:paraId="52D8B891" w14:textId="77777777" w:rsidR="00B17D50" w:rsidRDefault="00000000" w:rsidP="00193853">
      <w:pPr>
        <w:spacing w:after="90"/>
        <w:ind w:left="360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Ejes activados: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inclusión (el aula multigrado como comunidad natural de apoyo), pensamiento</w:t>
      </w:r>
    </w:p>
    <w:p w14:paraId="5F2D7834" w14:textId="77777777" w:rsidR="00B17D50" w:rsidRDefault="00000000" w:rsidP="00193853">
      <w:pPr>
        <w:spacing w:after="140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 xml:space="preserve">  crítico (el río), vida saludable (el traspatio y la alimentación).</w:t>
      </w: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17D50" w14:paraId="5700BB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94173" w14:textId="1D420C5F" w:rsidR="00B17D50" w:rsidRDefault="00000000" w:rsidP="00193853">
            <w:pPr>
              <w:spacing w:after="140"/>
              <w:jc w:val="both"/>
            </w:pPr>
            <w:r>
              <w:rPr>
                <w:rFonts w:ascii="Segoe UI Emoji" w:eastAsia="Inter" w:hAnsi="Segoe UI Emoji" w:cs="Segoe UI Emoji"/>
                <w:color w:val="222222"/>
              </w:rPr>
              <w:t>💭</w:t>
            </w:r>
            <w:r>
              <w:rPr>
                <w:rFonts w:ascii="Inter" w:eastAsia="Inter" w:hAnsi="Inter" w:cs="Inter"/>
                <w:color w:val="222222"/>
              </w:rPr>
              <w:t xml:space="preserve"> *Por qué así: el multigrado no es "una primaria incompleta" — es una estructura con </w:t>
            </w:r>
            <w:r w:rsidR="00193853">
              <w:rPr>
                <w:rFonts w:ascii="Inter" w:eastAsia="Inter" w:hAnsi="Inter" w:cs="Inter"/>
                <w:color w:val="222222"/>
              </w:rPr>
              <w:t xml:space="preserve">ventajas propias </w:t>
            </w:r>
            <w:r w:rsidR="00193853">
              <w:rPr>
                <w:rFonts w:ascii="Inter" w:eastAsia="Inter" w:hAnsi="Inter" w:cs="Inter"/>
                <w:color w:val="222222"/>
                <w:sz w:val="22"/>
                <w:szCs w:val="22"/>
              </w:rPr>
              <w:t xml:space="preserve">(la tutoría espontánea) que este programa convierte en método. Ningún formato de escuela completa le habría servido a esta </w:t>
            </w:r>
            <w:r w:rsidR="00193853">
              <w:rPr>
                <w:rFonts w:ascii="Inter" w:eastAsia="Inter" w:hAnsi="Inter" w:cs="Inter"/>
                <w:color w:val="222222"/>
                <w:sz w:val="22"/>
                <w:szCs w:val="22"/>
              </w:rPr>
              <w:t>maestra. *</w:t>
            </w:r>
          </w:p>
        </w:tc>
      </w:tr>
    </w:tbl>
    <w:p w14:paraId="522459E2" w14:textId="77777777" w:rsidR="00B17D50" w:rsidRDefault="00B17D50" w:rsidP="00193853">
      <w:pPr>
        <w:spacing w:after="80"/>
        <w:jc w:val="both"/>
      </w:pPr>
    </w:p>
    <w:p w14:paraId="28698A81" w14:textId="77777777" w:rsidR="00B17D50" w:rsidRDefault="00000000" w:rsidP="00193853">
      <w:pPr>
        <w:spacing w:after="140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Cierre "Antes pensaba / Ahora pienso":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"Antes pensaba que necesitaba dos programas analíticos; ahora pienso que necesito un solo programa con dos lentes — y los bancos por fase son los lentes."</w:t>
      </w:r>
    </w:p>
    <w:p w14:paraId="73F3496E" w14:textId="77777777" w:rsidR="00B17D50" w:rsidRDefault="00000000" w:rsidP="00193853">
      <w:pPr>
        <w:spacing w:after="140"/>
        <w:jc w:val="both"/>
      </w:pPr>
      <w:r>
        <w:rPr>
          <w:rFonts w:ascii="Inter" w:eastAsia="Inter" w:hAnsi="Inter" w:cs="Inter"/>
          <w:i/>
          <w:iCs/>
          <w:color w:val="444444"/>
          <w:sz w:val="22"/>
          <w:szCs w:val="22"/>
        </w:rPr>
        <w:t>Los tres ejemplos del kit (urbano, rural, multigrado) usan los mismos bancos oficiales citados. Lo que cambia es la lectura de la realidad — y por eso cambian las decisiones. Ese es el método que el CTE espera ver.</w:t>
      </w:r>
    </w:p>
    <w:sectPr w:rsidR="00B17D50" w:rsidSect="00193853">
      <w:headerReference w:type="default" r:id="rId8"/>
      <w:footerReference w:type="first" r:id="rId9"/>
      <w:pgSz w:w="12240" w:h="15840"/>
      <w:pgMar w:top="1200" w:right="1440" w:bottom="120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AD29B" w14:textId="77777777" w:rsidR="00063F0B" w:rsidRDefault="00063F0B">
      <w:r>
        <w:separator/>
      </w:r>
    </w:p>
  </w:endnote>
  <w:endnote w:type="continuationSeparator" w:id="0">
    <w:p w14:paraId="5026F838" w14:textId="77777777" w:rsidR="00063F0B" w:rsidRDefault="00063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4899868"/>
      <w:docPartObj>
        <w:docPartGallery w:val="Page Numbers (Bottom of Page)"/>
        <w:docPartUnique/>
      </w:docPartObj>
    </w:sdtPr>
    <w:sdtContent>
      <w:p w14:paraId="1CDFD1C8" w14:textId="193FBC4A" w:rsidR="00193853" w:rsidRDefault="0019385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A6C85E6" w14:textId="77777777" w:rsidR="00193853" w:rsidRDefault="001938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79D2A" w14:textId="77777777" w:rsidR="00063F0B" w:rsidRDefault="00063F0B">
      <w:r>
        <w:separator/>
      </w:r>
    </w:p>
  </w:footnote>
  <w:footnote w:type="continuationSeparator" w:id="0">
    <w:p w14:paraId="159F0153" w14:textId="77777777" w:rsidR="00063F0B" w:rsidRDefault="00063F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525F7" w14:textId="77777777" w:rsidR="00B17D50" w:rsidRDefault="00000000">
    <w:pPr>
      <w:pBdr>
        <w:bottom w:val="single" w:sz="8" w:space="4" w:color="D4AF37"/>
      </w:pBdr>
      <w:tabs>
        <w:tab w:val="right" w:pos="9026"/>
      </w:tabs>
    </w:pPr>
    <w:r>
      <w:rPr>
        <w:noProof/>
      </w:rPr>
      <w:drawing>
        <wp:inline distT="0" distB="0" distL="0" distR="0" wp14:anchorId="4B5345C7" wp14:editId="54A8C6B9">
          <wp:extent cx="914400" cy="342900"/>
          <wp:effectExtent l="0" t="0" r="0" b="0"/>
          <wp:docPr id="394863188" name="Imagen 394863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eastAsia="Inter" w:hAnsi="Inter" w:cs="Inter"/>
        <w:b/>
        <w:bCs/>
        <w:color w:val="1A365D"/>
      </w:rPr>
      <w:tab/>
      <w:t>Ejemplo · Multigrado · Kit Programa Analítico NEM</w:t>
    </w:r>
    <w:r>
      <w:rPr>
        <w:noProof/>
      </w:rPr>
      <w:drawing>
        <wp:anchor distT="0" distB="0" distL="0" distR="0" simplePos="0" relativeHeight="3619500" behindDoc="1" locked="0" layoutInCell="1" allowOverlap="1" wp14:anchorId="69DC8278" wp14:editId="4B861893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l="0" t="0" r="0" b="0"/>
          <wp:wrapNone/>
          <wp:docPr id="529699203" name="Imagen 529699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4424"/>
    <w:multiLevelType w:val="hybridMultilevel"/>
    <w:tmpl w:val="42867A1E"/>
    <w:lvl w:ilvl="0" w:tplc="49FCC0B0">
      <w:start w:val="1"/>
      <w:numFmt w:val="bullet"/>
      <w:lvlText w:val="●"/>
      <w:lvlJc w:val="left"/>
      <w:pPr>
        <w:ind w:left="720" w:hanging="360"/>
      </w:pPr>
    </w:lvl>
    <w:lvl w:ilvl="1" w:tplc="D7F0CCCA">
      <w:start w:val="1"/>
      <w:numFmt w:val="bullet"/>
      <w:lvlText w:val="○"/>
      <w:lvlJc w:val="left"/>
      <w:pPr>
        <w:ind w:left="1440" w:hanging="360"/>
      </w:pPr>
    </w:lvl>
    <w:lvl w:ilvl="2" w:tplc="0B2C070A">
      <w:start w:val="1"/>
      <w:numFmt w:val="bullet"/>
      <w:lvlText w:val="■"/>
      <w:lvlJc w:val="left"/>
      <w:pPr>
        <w:ind w:left="2160" w:hanging="360"/>
      </w:pPr>
    </w:lvl>
    <w:lvl w:ilvl="3" w:tplc="557CEC6A">
      <w:start w:val="1"/>
      <w:numFmt w:val="bullet"/>
      <w:lvlText w:val="●"/>
      <w:lvlJc w:val="left"/>
      <w:pPr>
        <w:ind w:left="2880" w:hanging="360"/>
      </w:pPr>
    </w:lvl>
    <w:lvl w:ilvl="4" w:tplc="2EA4A048">
      <w:start w:val="1"/>
      <w:numFmt w:val="bullet"/>
      <w:lvlText w:val="○"/>
      <w:lvlJc w:val="left"/>
      <w:pPr>
        <w:ind w:left="3600" w:hanging="360"/>
      </w:pPr>
    </w:lvl>
    <w:lvl w:ilvl="5" w:tplc="9412F3EA">
      <w:start w:val="1"/>
      <w:numFmt w:val="bullet"/>
      <w:lvlText w:val="■"/>
      <w:lvlJc w:val="left"/>
      <w:pPr>
        <w:ind w:left="4320" w:hanging="360"/>
      </w:pPr>
    </w:lvl>
    <w:lvl w:ilvl="6" w:tplc="D9481B92">
      <w:start w:val="1"/>
      <w:numFmt w:val="bullet"/>
      <w:lvlText w:val="●"/>
      <w:lvlJc w:val="left"/>
      <w:pPr>
        <w:ind w:left="5040" w:hanging="360"/>
      </w:pPr>
    </w:lvl>
    <w:lvl w:ilvl="7" w:tplc="033A4AF6">
      <w:start w:val="1"/>
      <w:numFmt w:val="bullet"/>
      <w:lvlText w:val="●"/>
      <w:lvlJc w:val="left"/>
      <w:pPr>
        <w:ind w:left="5760" w:hanging="360"/>
      </w:pPr>
    </w:lvl>
    <w:lvl w:ilvl="8" w:tplc="1C32317C">
      <w:start w:val="1"/>
      <w:numFmt w:val="bullet"/>
      <w:lvlText w:val="●"/>
      <w:lvlJc w:val="left"/>
      <w:pPr>
        <w:ind w:left="6480" w:hanging="360"/>
      </w:pPr>
    </w:lvl>
  </w:abstractNum>
  <w:num w:numId="1" w16cid:durableId="4837869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D50"/>
    <w:rsid w:val="00063F0B"/>
    <w:rsid w:val="00193853"/>
    <w:rsid w:val="008D3ADE"/>
    <w:rsid w:val="00B1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B14B0"/>
  <w15:docId w15:val="{710B97EB-372A-4FCC-8B8D-BA57AD51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9385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93853"/>
  </w:style>
  <w:style w:type="paragraph" w:styleId="Piedepgina">
    <w:name w:val="footer"/>
    <w:basedOn w:val="Normal"/>
    <w:link w:val="PiedepginaCar"/>
    <w:uiPriority w:val="99"/>
    <w:unhideWhenUsed/>
    <w:rsid w:val="0019385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93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727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Monica Castilla Luna</cp:lastModifiedBy>
  <cp:revision>2</cp:revision>
  <dcterms:created xsi:type="dcterms:W3CDTF">2026-07-18T16:13:00Z</dcterms:created>
  <dcterms:modified xsi:type="dcterms:W3CDTF">2026-07-18T20:02:00Z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40d9fcda-203c-4698-bb1a-e81b0f46ed5c</vt:lpwstr>
  </property>
</Properties>
</file>