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INFORME PRELIMINAR DE AUTODIAGNÓSTICO ENS</w:t>
      </w:r>
    </w:p>
    <w:p>
      <w:r>
        <w:t>Fecha de generación: 17/06/2026 14:22</w:t>
      </w:r>
    </w:p>
    <w:p>
      <w:r>
        <w:t>Empresa evaluada: CiberFormacion SL</w:t>
      </w:r>
    </w:p>
    <w:p>
      <w:r>
        <w:t>Categoría ENS preliminar: MEDIA</w:t>
      </w:r>
    </w:p>
    <w:p>
      <w:r>
        <w:t>Nivel inicial de cumplimiento: 20.0%</w:t>
      </w:r>
    </w:p>
    <w:p>
      <w:pPr>
        <w:pStyle w:val="Heading2"/>
      </w:pPr>
      <w:r>
        <w:t>Medidas aplicables identificadas</w:t>
      </w:r>
    </w:p>
    <w:p>
      <w:pPr>
        <w:pStyle w:val="ListBullet"/>
      </w:pPr>
      <w:r>
        <w:t>ORG.1 - Política de seguridad</w:t>
      </w:r>
    </w:p>
    <w:p>
      <w:pPr>
        <w:pStyle w:val="ListBullet"/>
      </w:pPr>
      <w:r>
        <w:t>ORG.2 - Normativa de seguridad</w:t>
      </w:r>
    </w:p>
    <w:p>
      <w:pPr>
        <w:pStyle w:val="ListBullet"/>
      </w:pPr>
      <w:r>
        <w:t>ORG.3 - Procedimientos de seguridad</w:t>
      </w:r>
    </w:p>
    <w:p>
      <w:pPr>
        <w:pStyle w:val="ListBullet"/>
      </w:pPr>
      <w:r>
        <w:t>OP.EXP.1 - Inventario de activos</w:t>
      </w:r>
    </w:p>
    <w:p>
      <w:pPr>
        <w:pStyle w:val="ListBullet"/>
      </w:pPr>
      <w:r>
        <w:t>OP.EXP.7 - Gestión de incidentes</w:t>
      </w:r>
    </w:p>
    <w:p>
      <w:pPr>
        <w:pStyle w:val="ListBullet"/>
      </w:pPr>
      <w:r>
        <w:t>OP.CONT.1 - Análisis de impacto</w:t>
      </w:r>
    </w:p>
    <w:p>
      <w:pPr>
        <w:pStyle w:val="ListBullet"/>
      </w:pPr>
      <w:r>
        <w:t>OP.CONT.2 - Plan de continuidad</w:t>
      </w:r>
    </w:p>
    <w:p>
      <w:pPr>
        <w:pStyle w:val="ListBullet"/>
      </w:pPr>
      <w:r>
        <w:t>MP.INFO.2 - Calificación de la información</w:t>
      </w:r>
    </w:p>
    <w:p>
      <w:pPr>
        <w:pStyle w:val="ListBullet"/>
      </w:pPr>
      <w:r>
        <w:t>MP.SI.2 - Protección frente a código dañino</w:t>
      </w:r>
    </w:p>
    <w:p>
      <w:pPr>
        <w:pStyle w:val="Heading2"/>
      </w:pPr>
      <w:r>
        <w:t>Conclusión preliminar</w:t>
      </w:r>
    </w:p>
    <w:p>
      <w:r>
        <w:t>El resultado obtenido permite identificar de forma inicial la categoría ENS aplicable, las medidas de seguridad que deberían ser consideradas y el grado aproximado de cumplimiento inicial. Este resultado debe ser revisado posteriormente por personal experto antes de considerarse definitivo.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