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ind w:firstLine="0"/>
        <w:jc w:val="center"/>
      </w:pPr>
      <w:r>
        <w:rPr>
          <w:rFonts w:ascii="Times New Roman" w:hAnsi="Times New Roman"/>
          <w:b/>
          <w:color w:val="000000"/>
          <w:sz w:val="44"/>
        </w:rPr>
        <w:t>The Persistence Trap: Evaluating Machine Learning vs. Baseline Persistence in Football Talent Forecasting, with a Positional Construct-Validity Audit</w:t>
      </w:r>
    </w:p>
    <w:tbl>
      <w:tblPr>
        <w:tblW w:type="auto" w:w="0"/>
        <w:jc w:val="center"/>
        <w:tblLayout w:type="fixed"/>
        <w:tblLook w:firstColumn="1" w:firstRow="1" w:lastColumn="0" w:lastRow="0" w:noHBand="0" w:noVBand="1" w:val="04A0"/>
      </w:tblPr>
      <w:tblGrid>
        <w:gridCol w:w="3312"/>
        <w:gridCol w:w="3312"/>
        <w:gridCol w:w="3744"/>
      </w:tblGrid>
      <w:tr>
        <w:tc>
          <w:tcPr>
            <w:tcW w:type="dxa" w:w="3480"/>
          </w:tcPr>
          <w:p>
            <w:pPr>
              <w:spacing w:after="40"/>
              <w:ind w:firstLine="0"/>
              <w:jc w:val="center"/>
            </w:pPr>
            <w:r/>
            <w:r>
              <w:rPr>
                <w:rFonts w:ascii="Times New Roman" w:hAnsi="Times New Roman"/>
                <w:b/>
                <w:sz w:val="21"/>
              </w:rPr>
              <w:t>Sai Monish</w:t>
            </w:r>
          </w:p>
          <w:p>
            <w:pPr>
              <w:spacing w:after="20" w:line="245" w:lineRule="auto"/>
              <w:ind w:firstLine="0"/>
              <w:jc w:val="center"/>
            </w:pPr>
            <w:r>
              <w:rPr>
                <w:rFonts w:ascii="Times New Roman" w:hAnsi="Times New Roman"/>
                <w:sz w:val="17"/>
              </w:rPr>
              <w:t>School of Electronics Engineering</w:t>
            </w:r>
          </w:p>
          <w:p>
            <w:pPr>
              <w:spacing w:after="20" w:line="245" w:lineRule="auto"/>
              <w:ind w:firstLine="0"/>
              <w:jc w:val="center"/>
            </w:pPr>
            <w:r>
              <w:rPr>
                <w:rFonts w:ascii="Times New Roman" w:hAnsi="Times New Roman"/>
                <w:sz w:val="17"/>
              </w:rPr>
              <w:t>Vellore Institute of Technology</w:t>
            </w:r>
          </w:p>
          <w:p>
            <w:pPr>
              <w:spacing w:after="20" w:line="245" w:lineRule="auto"/>
              <w:ind w:firstLine="0"/>
              <w:jc w:val="center"/>
            </w:pPr>
            <w:r>
              <w:rPr>
                <w:rFonts w:ascii="Times New Roman" w:hAnsi="Times New Roman"/>
                <w:sz w:val="17"/>
              </w:rPr>
              <w:t>Chennai, Tamil Nadu, 600127, India</w:t>
            </w:r>
          </w:p>
          <w:p>
            <w:pPr>
              <w:spacing w:after="20" w:line="245" w:lineRule="auto"/>
              <w:ind w:firstLine="0"/>
              <w:jc w:val="center"/>
            </w:pPr>
            <w:r>
              <w:rPr>
                <w:rFonts w:ascii="Times New Roman" w:hAnsi="Times New Roman"/>
                <w:i/>
                <w:sz w:val="17"/>
              </w:rPr>
              <w:t>sai.monish2024@vitstudent.ac.in</w:t>
            </w:r>
          </w:p>
        </w:tc>
        <w:tc>
          <w:tcPr>
            <w:tcW w:type="dxa" w:w="3480"/>
          </w:tcPr>
          <w:p>
            <w:pPr>
              <w:spacing w:after="40"/>
              <w:ind w:firstLine="0"/>
              <w:jc w:val="center"/>
            </w:pPr>
            <w:r/>
            <w:r>
              <w:rPr>
                <w:rFonts w:ascii="Times New Roman" w:hAnsi="Times New Roman"/>
                <w:b/>
                <w:sz w:val="21"/>
              </w:rPr>
              <w:t>Kuntal Shit</w:t>
            </w:r>
          </w:p>
          <w:p>
            <w:pPr>
              <w:spacing w:after="20" w:line="245" w:lineRule="auto"/>
              <w:ind w:firstLine="0"/>
              <w:jc w:val="center"/>
            </w:pPr>
            <w:r>
              <w:rPr>
                <w:rFonts w:ascii="Times New Roman" w:hAnsi="Times New Roman"/>
                <w:sz w:val="17"/>
              </w:rPr>
              <w:t>School of Electrical Engineering</w:t>
            </w:r>
          </w:p>
          <w:p>
            <w:pPr>
              <w:spacing w:after="20" w:line="245" w:lineRule="auto"/>
              <w:ind w:firstLine="0"/>
              <w:jc w:val="center"/>
            </w:pPr>
            <w:r>
              <w:rPr>
                <w:rFonts w:ascii="Times New Roman" w:hAnsi="Times New Roman"/>
                <w:sz w:val="17"/>
              </w:rPr>
              <w:t>Vellore Institute of Technology</w:t>
            </w:r>
          </w:p>
          <w:p>
            <w:pPr>
              <w:spacing w:after="20" w:line="245" w:lineRule="auto"/>
              <w:ind w:firstLine="0"/>
              <w:jc w:val="center"/>
            </w:pPr>
            <w:r>
              <w:rPr>
                <w:rFonts w:ascii="Times New Roman" w:hAnsi="Times New Roman"/>
                <w:sz w:val="17"/>
              </w:rPr>
              <w:t>Chennai, Tamil Nadu, 600127, India</w:t>
            </w:r>
          </w:p>
          <w:p>
            <w:pPr>
              <w:spacing w:after="20" w:line="245" w:lineRule="auto"/>
              <w:ind w:firstLine="0"/>
              <w:jc w:val="center"/>
            </w:pPr>
            <w:r>
              <w:rPr>
                <w:rFonts w:ascii="Times New Roman" w:hAnsi="Times New Roman"/>
                <w:i/>
                <w:sz w:val="17"/>
              </w:rPr>
              <w:t>kuntal.shit2024@vitstudent.ac.in</w:t>
            </w:r>
          </w:p>
        </w:tc>
        <w:tc>
          <w:tcPr>
            <w:tcW w:type="dxa" w:w="3480"/>
          </w:tcPr>
          <w:p>
            <w:pPr>
              <w:spacing w:after="40"/>
              <w:ind w:firstLine="0"/>
              <w:jc w:val="center"/>
            </w:pPr>
            <w:r/>
            <w:r>
              <w:rPr>
                <w:rFonts w:ascii="Times New Roman" w:hAnsi="Times New Roman"/>
                <w:b/>
                <w:sz w:val="21"/>
              </w:rPr>
              <w:t>Dr. Gnana Swathika O V</w:t>
            </w:r>
          </w:p>
          <w:p>
            <w:pPr>
              <w:spacing w:after="20" w:line="245" w:lineRule="auto"/>
              <w:ind w:firstLine="0"/>
              <w:jc w:val="center"/>
            </w:pPr>
            <w:r>
              <w:rPr>
                <w:rFonts w:ascii="Times New Roman" w:hAnsi="Times New Roman"/>
                <w:sz w:val="17"/>
              </w:rPr>
              <w:t>Centre for Smart Grid Technologies</w:t>
            </w:r>
          </w:p>
          <w:p>
            <w:pPr>
              <w:spacing w:after="20" w:line="245" w:lineRule="auto"/>
              <w:ind w:firstLine="0"/>
              <w:jc w:val="center"/>
            </w:pPr>
            <w:r>
              <w:rPr>
                <w:rFonts w:ascii="Times New Roman" w:hAnsi="Times New Roman"/>
                <w:sz w:val="17"/>
              </w:rPr>
              <w:t>Vellore Institute of Technology</w:t>
            </w:r>
          </w:p>
          <w:p>
            <w:pPr>
              <w:spacing w:after="20" w:line="245" w:lineRule="auto"/>
              <w:ind w:firstLine="0"/>
              <w:jc w:val="center"/>
            </w:pPr>
            <w:r>
              <w:rPr>
                <w:rFonts w:ascii="Times New Roman" w:hAnsi="Times New Roman"/>
                <w:sz w:val="17"/>
              </w:rPr>
              <w:t>Chennai, Tamil Nadu, 600127, India</w:t>
            </w:r>
          </w:p>
          <w:p>
            <w:pPr>
              <w:spacing w:after="20" w:line="245" w:lineRule="auto"/>
              <w:ind w:firstLine="0"/>
              <w:jc w:val="center"/>
            </w:pPr>
            <w:r>
              <w:rPr>
                <w:rFonts w:ascii="Times New Roman" w:hAnsi="Times New Roman"/>
                <w:i/>
                <w:sz w:val="17"/>
              </w:rPr>
              <w:t>gnanaswathika.ov@vit.ac.in</w:t>
            </w:r>
          </w:p>
        </w:tc>
      </w:tr>
    </w:tbl>
    <w:p>
      <w:pPr>
        <w:spacing w:before="40" w:after="40"/>
        <w:ind w:firstLine="0"/>
      </w:pPr>
    </w:p>
    <w:p>
      <w:pPr>
        <w:sectPr>
          <w:headerReference w:type="default" r:id="rId9"/>
          <w:footerReference w:type="default" r:id="rId10"/>
          <w:pgSz w:w="12240" w:h="15840"/>
          <w:pgMar w:top="1080" w:right="900" w:bottom="1080" w:left="900" w:header="720" w:footer="720" w:gutter="0"/>
          <w:docGrid w:linePitch="360"/>
          <w:cols w:num="1" w:space="360"/>
        </w:sectPr>
      </w:pPr>
    </w:p>
    <w:p>
      <w:pPr>
        <w:spacing w:before="40" w:after="60" w:line="245" w:lineRule="auto"/>
        <w:ind w:firstLine="216"/>
        <w:jc w:val="both"/>
      </w:pPr>
      <w:r>
        <w:rPr>
          <w:rFonts w:ascii="Times New Roman" w:hAnsi="Times New Roman"/>
          <w:b/>
          <w:sz w:val="18"/>
        </w:rPr>
        <w:t>Abstract—</w:t>
      </w:r>
      <w:r>
        <w:rPr>
          <w:rFonts w:ascii="Times New Roman" w:hAnsi="Times New Roman"/>
          <w:sz w:val="18"/>
        </w:rPr>
        <w:t>Modern professional football recruitment increasingly supplements qualitative scouting with predictive machine learning algorithms. A central hazard—the 'Persistence Trap'—arises because athletic performance exhibits strong autoregressive inertia: algorithms risk reproducing past output rather than identifying latent development. We evaluate talent forecasting across 17 seasons of open match telemetry (StatsBomb) and market valuations (Transfermarkt) using an unweighted composite Performance Index (PI) across standardized positional event rates. On prospective evaluation, supervised models do not outperform persistence: in a 17-season panel (FC Barcelona, 2004/05–2020/21; n = 143 transitions across 45 players), no model significantly improves upon calibrated persistence on held-out confirmation (n = 62; Random Forest Root Mean Square Error (RMSE) = 0.313 vs. Persistence RMSE = 0.321; paired difference −0.008, 95% CI [−0.043, +0.027]; TOST confirms equivalence within Δ_equiv = ±0.05 RMSE). Over short-horizon 9-matchweek blocks across four European leagues (n = 1,382 transitions; 805 players; confirmation n = 691), machine learning achieves an 8.0% error reduction (RF RMSE = 0.412 vs. 0.448); however, moving averages capture 72% of this gain, and Ridge captures 89%. A prospective construct-validity audit reveals that the composite PI tracks playing time (ρ = +0.73) and valuation (ρ = +0.79) for forwards, but exhibits no detectable association for defenders (ρ = +0.08) and midfielders (ρ = −0.01), with 95% CIs spanning zero. This suggests that discrete event composites capture attacking utility but fail to reflect non-attacking roles. We formalize these dynamics via Classical Test Theory, calibrate split-conformal corridors under approximate exchangeability, and outline translational recruitment rules.</w:t>
      </w:r>
    </w:p>
    <w:p>
      <w:pPr>
        <w:spacing w:before="40" w:after="80"/>
        <w:ind w:firstLine="288"/>
      </w:pPr>
      <w:r>
        <w:rPr>
          <w:rFonts w:ascii="Times New Roman" w:hAnsi="Times New Roman"/>
          <w:b/>
          <w:sz w:val="18"/>
        </w:rPr>
        <w:t>Index Terms—</w:t>
      </w:r>
      <w:r>
        <w:rPr>
          <w:rFonts w:ascii="Times New Roman" w:hAnsi="Times New Roman"/>
          <w:sz w:val="18"/>
        </w:rPr>
        <w:t>Sports Analytics, Football Talent Scouting, Supervised Machine Learning, Autoregressive Baselines, Persistence Trap, Leakage-Free Temporal Validation, Classical Test Theory, Conformal Prediction, Transfermarkt Valuation.</w:t>
      </w:r>
    </w:p>
    <w:p>
      <w:pPr>
        <w:spacing w:before="160" w:after="50"/>
        <w:ind w:firstLine="0"/>
        <w:jc w:val="center"/>
      </w:pPr>
      <w:r>
        <w:rPr>
          <w:rFonts w:ascii="Times New Roman" w:hAnsi="Times New Roman"/>
          <w:b/>
          <w:i w:val="0"/>
          <w:sz w:val="21"/>
          <w:rFonts w:ascii="Times New Roman" w:hAnsi="Times New Roman" w:cs="Times New Roman"/>
        </w:rPr>
        <w:t>I. INTRODUCTION</w:t>
      </w:r>
    </w:p>
    <w:p>
      <w:pPr>
        <w:spacing w:after="40" w:line="245" w:lineRule="auto"/>
        <w:ind w:firstLine="216"/>
        <w:jc w:val="both"/>
      </w:pPr>
      <w:r>
        <w:rPr>
          <w:rFonts w:ascii="Times New Roman" w:hAnsi="Times New Roman"/>
          <w:b w:val="0"/>
          <w:i w:val="0"/>
          <w:sz w:val="20"/>
          <w:rFonts w:ascii="Times New Roman" w:hAnsi="Times New Roman" w:cs="Times New Roman"/>
        </w:rPr>
        <w:t>Association football represents the world's most economically dominant sport, characterized by an international labor market with substantial financial commitments. According to official FIFA Global Transfer Reports, cross-border transfer expenditures exceeded $9.6 billion in 2023 [1], while player compensation and transfer fee amortization routinely constitute the largest single operating expenditure category for elite European clubs. In this capital-intensive environment, an erroneous player acquisition can impair balance-sheet stability, weaken on-pitch competitiveness, and accelerate managerial turnover. Consequently, the quantitative identification and longitudinal forecasting of athletic talent constitutes a central operational challenge in professional sports administration.</w:t>
      </w:r>
    </w:p>
    <w:p>
      <w:pPr>
        <w:spacing w:after="40" w:line="245" w:lineRule="auto"/>
        <w:ind w:firstLine="216"/>
        <w:jc w:val="both"/>
      </w:pPr>
      <w:r>
        <w:rPr>
          <w:rFonts w:ascii="Times New Roman" w:hAnsi="Times New Roman"/>
          <w:b w:val="0"/>
          <w:i w:val="0"/>
          <w:sz w:val="20"/>
          <w:rFonts w:ascii="Times New Roman" w:hAnsi="Times New Roman" w:cs="Times New Roman"/>
        </w:rPr>
        <w:t>Historically, player recruitment was almost entirely qualitative. Professional scouting departments deployed regional scouts who observed live matches to evaluate prospective athletes via heuristic 'eye test' appraisals. As Piggott and Muir observe [2], experiential scouting provides indispensable contextual insights regarding character, locker-room cohesion, and tactical adaptability, but remains vulnerable to cognitive availability heuristics, recency bias, and geographical sampling limitations. Over the past two decades, the wide availability of digital match telemetry sparked a quantitative revolution in football recruitment [3].</w:t>
      </w:r>
    </w:p>
    <w:p>
      <w:pPr>
        <w:spacing w:after="40" w:line="245" w:lineRule="auto"/>
        <w:ind w:firstLine="216"/>
        <w:jc w:val="both"/>
      </w:pPr>
      <w:r>
        <w:rPr>
          <w:rFonts w:ascii="Times New Roman" w:hAnsi="Times New Roman"/>
          <w:b w:val="0"/>
          <w:i w:val="0"/>
          <w:sz w:val="20"/>
          <w:rFonts w:ascii="Times New Roman" w:hAnsi="Times New Roman" w:cs="Times New Roman"/>
        </w:rPr>
        <w:t>Early quantitative scouting frameworks sought to aggregate disparate technical metrics into scalar talent ratings using classical Multi-Criteria Decision Analysis (MCDA)—specifically the Weighted Sum Model (WSM), the Technique for Order Preference by Similarity to Ideal Solution (TOPSIS), and the VIKOR (VlseKriterijumska Optimizacija I Kompromisno Resenje, multi-criteria optimization and compromise solution) algorithm [4], [5]. While computationally straightforward, heuristic MCDA models exhibit notable structural constraints: they rely on arbitrary criteria weighting schemes, enforce linear compensation between independent tactical attributes, and conflate gross volume (minutes played) with technical rate efficiency.</w:t>
      </w:r>
    </w:p>
    <w:p>
      <w:pPr>
        <w:spacing w:after="40" w:line="245" w:lineRule="auto"/>
        <w:ind w:firstLine="216"/>
        <w:jc w:val="both"/>
      </w:pPr>
      <w:r>
        <w:rPr>
          <w:rFonts w:ascii="Times New Roman" w:hAnsi="Times New Roman"/>
          <w:b w:val="0"/>
          <w:i w:val="0"/>
          <w:sz w:val="20"/>
          <w:rFonts w:ascii="Times New Roman" w:hAnsi="Times New Roman" w:cs="Times New Roman"/>
        </w:rPr>
        <w:t>To transcend heuristic scoring, academic research and industry analytics departments turned toward supervised machine learning (ML). As documented in recent surveys by Zhou et al. [6] and Li and Huang [7], machine learning algorithms have been applied across physical monitoring, match tactical analysis, and prospective player evaluation. Over the last decade, an expanding literature has deployed regularized linear estimators, random forests, gradient-boosted decision trees, and neural architectures to forecast prospective player output and detect developmental breakouts [8], [9], [10]. Published evaluations of player ranking architectures (e.g., PlayeRank [8]) and action valuation frameworks (e.g., VAEP [9]) emphasize predictive accuracy and action discrimination, concluding that machine learning substantially advances quantitative talent evaluation.</w:t>
      </w:r>
    </w:p>
    <w:p>
      <w:pPr>
        <w:spacing w:after="40" w:line="245" w:lineRule="auto"/>
        <w:ind w:firstLine="216"/>
        <w:jc w:val="both"/>
      </w:pPr>
      <w:r>
        <w:rPr>
          <w:rFonts w:ascii="Times New Roman" w:hAnsi="Times New Roman"/>
          <w:b/>
          <w:i w:val="0"/>
          <w:sz w:val="20"/>
          <w:rFonts w:ascii="Times New Roman" w:hAnsi="Times New Roman" w:cs="Times New Roman"/>
        </w:rPr>
        <w:t xml:space="preserve">The Persistence Trap: </w:t>
      </w:r>
      <w:r>
        <w:rPr>
          <w:rFonts w:ascii="Times New Roman" w:hAnsi="Times New Roman"/>
          <w:b w:val="0"/>
          <w:i w:val="0"/>
          <w:sz w:val="20"/>
          <w:rFonts w:ascii="Times New Roman" w:hAnsi="Times New Roman" w:cs="Times New Roman"/>
        </w:rPr>
        <w:t>In this paper, we argue that this reported optimism requires careful methodological re-examination. Applied sports forecasting frequently encounters what we term the 'Persistence Trap'. In season-level soccer analytics, an established player's historical performance is such an overwhelmingly dominant predictor of subsequent output that supervised machine learning models primarily capture baseline autoregressive persistence while appearing to discover complex developmental signals. Because professional football operates within structured tactical assignments, an established athlete's per-90 rate profile exhibits pronounced temporal stability across consecutive campaigns (within-season split-half reliability r_xx = 0.811; cross-season stability r_xy = 0.837 across n = 143 adjacent transitions, spanning 45 unique outfield players with effective cluster sample K = 45). Consequently, an estimator that simply projects historical performance forward achieves high apparent correlation. When empirical benchmarks omit properly calibrated persistence baselines, researchers risk mistaking temporal inertia for algorithmic forecasting skill.</w:t>
      </w:r>
    </w:p>
    <w:p>
      <w:pPr>
        <w:spacing w:after="40" w:line="245" w:lineRule="auto"/>
        <w:ind w:firstLine="216"/>
        <w:jc w:val="both"/>
      </w:pPr>
      <w:r>
        <w:rPr>
          <w:rFonts w:ascii="Times New Roman" w:hAnsi="Times New Roman"/>
          <w:b/>
          <w:i w:val="0"/>
          <w:sz w:val="20"/>
          <w:rFonts w:ascii="Times New Roman" w:hAnsi="Times New Roman" w:cs="Times New Roman"/>
        </w:rPr>
        <w:t xml:space="preserve">Methodological Vulnerabilities: </w:t>
      </w:r>
      <w:r>
        <w:rPr>
          <w:rFonts w:ascii="Times New Roman" w:hAnsi="Times New Roman"/>
          <w:b w:val="0"/>
          <w:i w:val="0"/>
          <w:sz w:val="20"/>
          <w:rFonts w:ascii="Times New Roman" w:hAnsi="Times New Roman" w:cs="Times New Roman"/>
        </w:rPr>
        <w:t>This benchmarking challenge is further magnified by four widespread methodological vulnerabilities identified during an architectural audit of our internal legacy talent scoring pipelines and reflecting recurring pitfalls in sports decision-support implementations:</w:t>
      </w:r>
    </w:p>
    <w:p>
      <w:pPr>
        <w:spacing w:after="40" w:line="245" w:lineRule="auto"/>
        <w:ind w:firstLine="216"/>
        <w:jc w:val="both"/>
      </w:pPr>
      <w:r>
        <w:rPr>
          <w:rFonts w:ascii="Times New Roman" w:hAnsi="Times New Roman"/>
          <w:b w:val="0"/>
          <w:i w:val="0"/>
          <w:sz w:val="20"/>
          <w:rFonts w:ascii="Times New Roman" w:hAnsi="Times New Roman" w:cs="Times New Roman"/>
        </w:rPr>
        <w:t>1) Circular Target Formulation: In our own earlier research pipeline (which initially adapted static multi-criteria formulations [4], [5]), candidate rankings were computed using heuristic criteria aggregated over the same observation window without prospective forward validation. When heuristic scorers are retrospectively evaluated against contemporaneous or circular composite criteria, heuristic aggregations gain an artificial mathematical advantage while penalizing genuine out-of-sample prospective estimators.</w:t>
      </w:r>
    </w:p>
    <w:p>
      <w:pPr>
        <w:spacing w:after="40" w:line="245" w:lineRule="auto"/>
        <w:ind w:firstLine="216"/>
        <w:jc w:val="both"/>
      </w:pPr>
      <w:r>
        <w:rPr>
          <w:rFonts w:ascii="Times New Roman" w:hAnsi="Times New Roman"/>
          <w:b w:val="0"/>
          <w:i w:val="0"/>
          <w:sz w:val="20"/>
          <w:rFonts w:ascii="Times New Roman" w:hAnsi="Times New Roman" w:cs="Times New Roman"/>
        </w:rPr>
        <w:t>2) Temporal Identity Leakage: The application of standard K-fold cross-validation or random train-test splits across multi-season panels leaks future observations of a player into the training fold [10], [11]. Because athletes appear across multiple seasons, supervised algorithms can memorize individual player identities rather than learning generalizable developmental rules, producing overly optimistic error estimates that fail in deployment.</w:t>
      </w:r>
    </w:p>
    <w:p>
      <w:pPr>
        <w:spacing w:after="40" w:line="245" w:lineRule="auto"/>
        <w:ind w:firstLine="216"/>
        <w:jc w:val="both"/>
      </w:pPr>
      <w:r>
        <w:rPr>
          <w:rFonts w:ascii="Times New Roman" w:hAnsi="Times New Roman"/>
          <w:b w:val="0"/>
          <w:i w:val="0"/>
          <w:sz w:val="20"/>
          <w:rFonts w:ascii="Times New Roman" w:hAnsi="Times New Roman" w:cs="Times New Roman"/>
        </w:rPr>
        <w:t>3) Survivor Selection Bias: Athletes who experience severe performance collapse or career-ending injuries are dropped from top-tier leagues or fail to satisfy playing-time filters. Evaluating models exclusively on surviving players truncates the lower tail of the performance distribution and spuriously inflates observed stability metrics.</w:t>
      </w:r>
    </w:p>
    <w:p>
      <w:pPr>
        <w:spacing w:after="40" w:line="245" w:lineRule="auto"/>
        <w:ind w:firstLine="216"/>
        <w:jc w:val="both"/>
      </w:pPr>
      <w:r>
        <w:rPr>
          <w:rFonts w:ascii="Times New Roman" w:hAnsi="Times New Roman"/>
          <w:b w:val="0"/>
          <w:i w:val="0"/>
          <w:sz w:val="20"/>
          <w:rFonts w:ascii="Times New Roman" w:hAnsi="Times New Roman" w:cs="Times New Roman"/>
        </w:rPr>
        <w:t>4) Elevated Ranking Baselines in Truncated Cohorts: Evaluators applying ranking metrics such as Normalized Discounted Cumulative Gain (NDCG@10) often interpret scores above 0.85 as evidence of high ranking efficacy. However, as methodological critiques emphasize [10], in constrained recruitment pools containing only 10 to 20 candidate athletes per role, the combinatoric null baseline of NDCG is inherently elevated: Monte Carlo simulation across uniform random orderings produces an average null NDCG@10 of 0.764, revealing that reported scores of 0.85–0.88 represent modest improvements over chance. In larger candidate pools (N = 691), the random floor drops to 0.437, allowing genuine discriminative skill to be detected.</w:t>
      </w:r>
    </w:p>
    <w:p>
      <w:pPr>
        <w:spacing w:after="40" w:line="245" w:lineRule="auto"/>
        <w:ind w:firstLine="216"/>
        <w:jc w:val="both"/>
      </w:pPr>
      <w:r>
        <w:rPr>
          <w:rFonts w:ascii="Times New Roman" w:hAnsi="Times New Roman"/>
          <w:b/>
          <w:i w:val="0"/>
          <w:sz w:val="20"/>
          <w:rFonts w:ascii="Times New Roman" w:hAnsi="Times New Roman" w:cs="Times New Roman"/>
        </w:rPr>
        <w:t xml:space="preserve">Core Contributions: </w:t>
      </w:r>
      <w:r>
        <w:rPr>
          <w:rFonts w:ascii="Times New Roman" w:hAnsi="Times New Roman"/>
          <w:b w:val="0"/>
          <w:i w:val="0"/>
          <w:sz w:val="20"/>
          <w:rFonts w:ascii="Times New Roman" w:hAnsi="Times New Roman" w:cs="Times New Roman"/>
        </w:rPr>
        <w:t>To establish rigorous empirical boundaries, this study presents a systematic empirical benchmarking of machine learning estimators versus autoregressive persistence across 17 seasons of longitudinal match telemetry and four major European domestic leagues, formulating three distinct empirical contributions:</w:t>
      </w:r>
    </w:p>
    <w:p>
      <w:pPr>
        <w:spacing w:after="40" w:line="245" w:lineRule="auto"/>
        <w:ind w:firstLine="216"/>
        <w:jc w:val="both"/>
      </w:pPr>
      <w:r>
        <w:rPr>
          <w:rFonts w:ascii="Times New Roman" w:hAnsi="Times New Roman"/>
          <w:b w:val="0"/>
          <w:i w:val="0"/>
          <w:sz w:val="20"/>
          <w:rFonts w:ascii="Times New Roman" w:hAnsi="Times New Roman" w:cs="Times New Roman"/>
        </w:rPr>
        <w:t>Contribution 1: Predictive Forecasting Evaluation and Theoretical Formalization of the Persistence Trap. We implement a rolling-origin temporal validation framework that strictly eliminates look-ahead leakage, benchmarking regularized linear estimators (Ridge, Elastic Net), tree ensembles (Random Forest), and gradient boosting (LightGBM) against calibrated persistence across dual operational horizons: a 17-season single-club longitudinal panel (FC Barcelona, 2004/05–2020/21; n = 143 player-season transitions across 45 unique outfield players; effective cluster sample K = 45) and a 4-league cross-sectional panel (2015/16; 1,382 block-transitions across 805 unique players). We evaluate forecasting accuracy using Root Mean Square Error (RMSE) and Spearman rank correlation (ρ), and formalize the persistence trap through Classical Test Theory [12], showing that year-over-year change scores (Δ PI) have near-zero reliability (r_ΔΔ ≈ 0; point estimates −0.16 at r_xy = 0.837 [truncated to 0.0] and +0.05 at pooled r_xy = 0.801; 95% bootstrap CI [−0.36, +0.05] spanning zero) and that short-horizon machine learning gains are largely reproducible by linear models (with Ridge capturing 89% and multi-period moving averages capturing 72% of Random Forest's improvement).</w:t>
      </w:r>
    </w:p>
    <w:p>
      <w:pPr>
        <w:spacing w:after="40" w:line="245" w:lineRule="auto"/>
        <w:ind w:firstLine="216"/>
        <w:jc w:val="both"/>
      </w:pPr>
      <w:r>
        <w:rPr>
          <w:rFonts w:ascii="Times New Roman" w:hAnsi="Times New Roman"/>
          <w:b w:val="0"/>
          <w:i w:val="0"/>
          <w:sz w:val="20"/>
          <w:rFonts w:ascii="Times New Roman" w:hAnsi="Times New Roman" w:cs="Times New Roman"/>
        </w:rPr>
        <w:t>Contribution 2: Positional Construct-Validity Audit. We perform a prospective construct-validity audit across five alternative external targets (subsequent minutes, matches share, squad availability, on-pitch net goal differential, and market valuation). We show that while the composite Performance Index strongly tracks managerial selection and economic valuation for forwards, it exhibits weak or undetectable prospective association for defenders and midfielders (with all 95% confidence intervals spanning zero). Rather than treating this as a failure, we present it as a cautionary empirical boundary for the sports analytics community, noting that discrete event-rate composites cannot capture off-the-ball space denial and pressing triggers without continuous spatial tracking data.</w:t>
      </w:r>
    </w:p>
    <w:p>
      <w:pPr>
        <w:spacing w:after="40" w:line="245" w:lineRule="auto"/>
        <w:ind w:firstLine="216"/>
        <w:jc w:val="both"/>
      </w:pPr>
      <w:r>
        <w:rPr>
          <w:rFonts w:ascii="Times New Roman" w:hAnsi="Times New Roman"/>
          <w:b w:val="0"/>
          <w:i w:val="0"/>
          <w:sz w:val="20"/>
          <w:rFonts w:ascii="Times New Roman" w:hAnsi="Times New Roman" w:cs="Times New Roman"/>
        </w:rPr>
        <w:t>Contribution 3: Uncertainty Quantification and Translational Decision Support. We calibrate split-conformal prediction intervals [13], [14] under approximate exchangeability, grounding uncertainty bounds in empirical test coverage, and synthesize these findings into operational recruitment rules based on hierarchical parameter shrinkage principles [15].</w:t>
      </w:r>
    </w:p>
    <w:p>
      <w:pPr>
        <w:spacing w:before="160" w:after="50"/>
        <w:ind w:firstLine="0"/>
        <w:jc w:val="center"/>
      </w:pPr>
      <w:r>
        <w:rPr>
          <w:rFonts w:ascii="Times New Roman" w:hAnsi="Times New Roman"/>
          <w:b/>
          <w:i w:val="0"/>
          <w:sz w:val="21"/>
          <w:rFonts w:ascii="Times New Roman" w:hAnsi="Times New Roman" w:cs="Times New Roman"/>
        </w:rPr>
        <w:t>II. THEORETICAL BACKGROUND AND RESEARCH HYPOTHESES</w:t>
      </w:r>
    </w:p>
    <w:p>
      <w:pPr>
        <w:spacing w:before="100" w:after="30"/>
        <w:ind w:firstLine="0"/>
        <w:jc w:val="left"/>
      </w:pPr>
      <w:r>
        <w:rPr>
          <w:rFonts w:ascii="Times New Roman" w:hAnsi="Times New Roman"/>
          <w:b/>
          <w:i/>
          <w:sz w:val="20"/>
          <w:rFonts w:ascii="Times New Roman" w:hAnsi="Times New Roman" w:cs="Times New Roman"/>
        </w:rPr>
        <w:t>A. Match Action Rating and Retrospective Performance Models</w:t>
      </w:r>
    </w:p>
    <w:p>
      <w:pPr>
        <w:spacing w:after="40" w:line="245" w:lineRule="auto"/>
        <w:ind w:firstLine="216"/>
        <w:jc w:val="both"/>
      </w:pPr>
      <w:r>
        <w:rPr>
          <w:rFonts w:ascii="Times New Roman" w:hAnsi="Times New Roman"/>
          <w:b w:val="0"/>
          <w:i w:val="0"/>
          <w:sz w:val="20"/>
          <w:rFonts w:ascii="Times New Roman" w:hAnsi="Times New Roman" w:cs="Times New Roman"/>
        </w:rPr>
        <w:t>Modern sports data science has witnessed rapid advancement in the evaluation of in-match technical contributions. Traditional box-score statistics (goals, assists, cards) fail to capture the overwhelming majority of in-match on-the-ball actions—of which goals and assists typically represent fewer than three discrete events per match—and omit continuous off-the-ball spatial positioning. To address this limitation, researchers developed possession-based valuation frameworks. Pappalardo et al. [8] introduced PlayeRank, evaluating match performance across 31 role-specific event features using linear vector aggregation. Decroos et al. [9] formalized Valuing Actions by Estimating Probabilities (VAEP), quantifying the offensive and defensive value of every discrete action by estimating its impact on short-term scoring and conceding probabilities. Singh [16] introduced Expected Threat (xT), a spatial Markov transition model mapping possession progression across pitch zones. In parallel, Lucey et al. [17] pioneered spatial shot quality modeling using strategic features from tracking data, while subsequent work by Rein and Memmert [18], Pappalardo and Cintia [19], Schauberger and Groll [20], and Bunker and Thabtah [21] established machine learning applications in retrospective match analysis.</w:t>
      </w:r>
    </w:p>
    <w:p>
      <w:pPr>
        <w:spacing w:after="40" w:line="245" w:lineRule="auto"/>
        <w:ind w:firstLine="216"/>
        <w:jc w:val="both"/>
      </w:pPr>
      <w:r>
        <w:rPr>
          <w:rFonts w:ascii="Times New Roman" w:hAnsi="Times New Roman"/>
          <w:b w:val="0"/>
          <w:i w:val="0"/>
          <w:sz w:val="20"/>
          <w:rFonts w:ascii="Times New Roman" w:hAnsi="Times New Roman" w:cs="Times New Roman"/>
        </w:rPr>
        <w:t>While PlayeRank, VAEP, and xT represent significant achievements in match performance quantification, they are retrospective rating systems: they evaluate what an athlete accomplished in previously completed fixtures. In professional recruitment, however, the primary operational task is prospective forecasting: predicting how an athlete will perform over an upcoming competitive horizon in a new tactical context. Projecting retrospective ratings into future seasons without modeling regression to the mean and tactical dependencies risks misattributing environmental factors to individual athletic quality.</w:t>
      </w:r>
    </w:p>
    <w:p>
      <w:pPr>
        <w:spacing w:before="100" w:after="30"/>
        <w:ind w:firstLine="0"/>
        <w:jc w:val="left"/>
      </w:pPr>
      <w:r>
        <w:rPr>
          <w:rFonts w:ascii="Times New Roman" w:hAnsi="Times New Roman"/>
          <w:b/>
          <w:i/>
          <w:sz w:val="20"/>
          <w:rFonts w:ascii="Times New Roman" w:hAnsi="Times New Roman" w:cs="Times New Roman"/>
        </w:rPr>
        <w:t>B. Crowdsourced Valuations and Football Labor Econometrics</w:t>
      </w:r>
    </w:p>
    <w:p>
      <w:pPr>
        <w:spacing w:after="40" w:line="245" w:lineRule="auto"/>
        <w:ind w:firstLine="216"/>
        <w:jc w:val="both"/>
      </w:pPr>
      <w:r>
        <w:rPr>
          <w:rFonts w:ascii="Times New Roman" w:hAnsi="Times New Roman"/>
          <w:b w:val="0"/>
          <w:i w:val="0"/>
          <w:sz w:val="20"/>
          <w:rFonts w:ascii="Times New Roman" w:hAnsi="Times New Roman" w:cs="Times New Roman"/>
        </w:rPr>
        <w:t>In parallel with match event analytics, sports econometrics has investigated the economic valuation of professional footballers. Research by Herm et al. [22] demonstrated that crowdsourced player market values published by online communities—specifically Transfermarkt—strongly correlate with subsequent actual transfer fees paid by clubs, though crowd judgments remain subject to cognitive heuristics. Subsequently, Müller et al. [23] showed that statistical learning models can complement and refine crowd estimates by incorporating performance telemetry. Econometric investigations by Peeters [24], Frick [25], and Behravan and Razavi [26] utilized crowdsourced valuations to model international match forecasting, transfer fee determinants, and performance-based value appreciation. However, crowdsourced valuations are inherently endogenous: they reflect market visibility, club prestige, and contract status alongside athletic performance.</w:t>
      </w:r>
    </w:p>
    <w:p>
      <w:pPr>
        <w:spacing w:before="100" w:after="30"/>
        <w:ind w:firstLine="0"/>
        <w:jc w:val="left"/>
      </w:pPr>
      <w:r>
        <w:rPr>
          <w:rFonts w:ascii="Times New Roman" w:hAnsi="Times New Roman"/>
          <w:b/>
          <w:i/>
          <w:sz w:val="20"/>
          <w:rFonts w:ascii="Times New Roman" w:hAnsi="Times New Roman" w:cs="Times New Roman"/>
        </w:rPr>
        <w:t>C. Parameter Shrinkage, Talent Tracking, and Decision Architectures</w:t>
      </w:r>
    </w:p>
    <w:p>
      <w:pPr>
        <w:spacing w:after="40" w:line="245" w:lineRule="auto"/>
        <w:ind w:firstLine="216"/>
        <w:jc w:val="both"/>
      </w:pPr>
      <w:r>
        <w:rPr>
          <w:rFonts w:ascii="Times New Roman" w:hAnsi="Times New Roman"/>
          <w:b w:val="0"/>
          <w:i w:val="0"/>
          <w:sz w:val="20"/>
          <w:rFonts w:ascii="Times New Roman" w:hAnsi="Times New Roman" w:cs="Times New Roman"/>
        </w:rPr>
        <w:t>Recent investigations have examined statistical modeling and parameter estimation in sports analytics. In a foundational study, Franks et al. [15] demonstrated that hierarchical parameter shrinkage and meta-analytic evaluation mitigate small-sample noise in sports performance metrics. Similarly, Necibi et al. [27] developed an automated talent tracking system (ML-ATR) utilizing wearable tracking telemetry to mitigate observer subjectivity. In broader sports analytics, Zhou et al. [6] and Li and Huang [7] surveyed how machine learning pipelines support scouting workflows while emphasizing the importance of data transparency.</w:t>
      </w:r>
    </w:p>
    <w:p>
      <w:pPr>
        <w:spacing w:before="100" w:after="30"/>
        <w:ind w:firstLine="0"/>
        <w:jc w:val="left"/>
      </w:pPr>
      <w:r>
        <w:rPr>
          <w:rFonts w:ascii="Times New Roman" w:hAnsi="Times New Roman"/>
          <w:b/>
          <w:i/>
          <w:sz w:val="20"/>
          <w:rFonts w:ascii="Times New Roman" w:hAnsi="Times New Roman" w:cs="Times New Roman"/>
        </w:rPr>
        <w:t>D. Research Hypotheses</w:t>
      </w:r>
    </w:p>
    <w:p>
      <w:pPr>
        <w:spacing w:after="40" w:line="245" w:lineRule="auto"/>
        <w:ind w:firstLine="216"/>
        <w:jc w:val="both"/>
      </w:pPr>
      <w:r>
        <w:rPr>
          <w:rFonts w:ascii="Times New Roman" w:hAnsi="Times New Roman"/>
          <w:b/>
          <w:i w:val="0"/>
          <w:sz w:val="20"/>
          <w:rFonts w:ascii="Times New Roman" w:hAnsi="Times New Roman" w:cs="Times New Roman"/>
        </w:rPr>
        <w:t xml:space="preserve">Confirmatory Framework: </w:t>
      </w:r>
      <w:r>
        <w:rPr>
          <w:rFonts w:ascii="Times New Roman" w:hAnsi="Times New Roman"/>
          <w:b w:val="0"/>
          <w:i w:val="0"/>
          <w:sz w:val="20"/>
          <w:rFonts w:ascii="Times New Roman" w:hAnsi="Times New Roman" w:cs="Times New Roman"/>
        </w:rPr>
        <w:t>To establish rigorous empirical boundaries and prevent post-hoc metric selection, seven formal research hypotheses (H1 through H7) were formulated during exploratory analysis on historical development data prior to evaluating the held-out confirmation partitions. Table I details each hypothesis, its operational metric, evidence criteria, and the observed empirical outcome. Positional breakdowns and external construct audits were conducted as exploratory post hoc analyses.</w:t>
      </w:r>
    </w:p>
    <w:p>
      <w:pPr>
        <w:sectPr>
          <w:headerReference w:type="default" r:id="rId11"/>
          <w:footerReference w:type="default" r:id="rId12"/>
          <w:type w:val="continuous"/>
          <w:pgSz w:w="12240" w:h="15840"/>
          <w:pgMar w:top="1080" w:right="900" w:bottom="1080" w:left="900" w:header="720" w:footer="720" w:gutter="0"/>
          <w:docGrid w:linePitch="360"/>
          <w:cols w:num="2" w:space="360"/>
        </w:sectPr>
      </w:pPr>
    </w:p>
    <w:p>
      <w:pPr>
        <w:spacing w:before="100" w:after="16"/>
        <w:ind w:firstLine="0"/>
        <w:jc w:val="center"/>
      </w:pPr>
      <w:r>
        <w:rPr>
          <w:rFonts w:ascii="Times New Roman" w:hAnsi="Times New Roman"/>
          <w:b/>
          <w:i w:val="0"/>
          <w:sz w:val="17"/>
          <w:rFonts w:ascii="Times New Roman" w:hAnsi="Times New Roman" w:cs="Times New Roman"/>
        </w:rPr>
        <w:t>TABLE I</w:t>
      </w:r>
    </w:p>
    <w:p>
      <w:pPr>
        <w:spacing w:after="40"/>
        <w:ind w:firstLine="0"/>
        <w:jc w:val="center"/>
      </w:pPr>
      <w:r>
        <w:rPr>
          <w:rFonts w:ascii="Times New Roman" w:hAnsi="Times New Roman"/>
          <w:b/>
          <w:i w:val="0"/>
          <w:sz w:val="16"/>
          <w:rFonts w:ascii="Times New Roman" w:hAnsi="Times New Roman" w:cs="Times New Roman"/>
        </w:rPr>
        <w:t>RESEARCH HYPOTHESES, OPERATIONAL METRICS, EVALUATION CRITERIA, AND OBSERVED OUTCOMES (POSITIONAL BREAKDOWN AND CONSTRUCT CHECKS ARE EXPLORATORY POST HOC AUDITS)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D1D5DB"/>
          <w:insideV w:val="none"/>
          <w:left w:val="none"/>
          <w:right w:val="none"/>
        </w:tblBorders>
      </w:tblPr>
      <w:tblGrid>
        <w:gridCol w:w="2088"/>
        <w:gridCol w:w="2088"/>
        <w:gridCol w:w="2088"/>
        <w:gridCol w:w="2088"/>
        <w:gridCol w:w="2088"/>
      </w:tblGrid>
      <w:tr>
        <w:tc>
          <w:tcPr>
            <w:tcW w:type="dxa" w:w="720"/>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ID</w:t>
            </w:r>
          </w:p>
        </w:tc>
        <w:tc>
          <w:tcPr>
            <w:tcW w:type="dxa" w:w="2592"/>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Research Hypothesis</w:t>
            </w:r>
          </w:p>
        </w:tc>
        <w:tc>
          <w:tcPr>
            <w:tcW w:type="dxa" w:w="1872"/>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Operational Metric</w:t>
            </w:r>
          </w:p>
        </w:tc>
        <w:tc>
          <w:tcPr>
            <w:tcW w:type="dxa" w:w="2592"/>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Evaluation Criteria</w:t>
            </w:r>
          </w:p>
        </w:tc>
        <w:tc>
          <w:tcPr>
            <w:tcW w:type="dxa" w:w="2592"/>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Observed Outcome</w:t>
            </w:r>
          </w:p>
        </w:tc>
      </w:tr>
      <w:tr>
        <w:tc>
          <w:tcPr>
            <w:tcW w:type="dxa" w:w="720"/>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H1</w:t>
            </w:r>
          </w:p>
        </w:tc>
        <w:tc>
          <w:tcPr>
            <w:tcW w:type="dxa" w:w="259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Persistence Competitive in Annual Horizons</w:t>
            </w:r>
          </w:p>
        </w:tc>
        <w:tc>
          <w:tcPr>
            <w:tcW w:type="dxa" w:w="187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Confirmation RMSE (Design A, n=62, K=28)</w:t>
            </w:r>
          </w:p>
        </w:tc>
        <w:tc>
          <w:tcPr>
            <w:tcW w:type="dxa" w:w="259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Paired bootstrap CI (ML - Pers) spans zero; TOST equivalence at ±0.05</w:t>
            </w:r>
          </w:p>
        </w:tc>
        <w:tc>
          <w:tcPr>
            <w:tcW w:type="dxa" w:w="259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Consistent (Diff: −0.008 [−0.043, +0.027]; TOST equivalent at ±0.05 for all; at ±0.025 for Ridge, Elastic Net, LightGBM; K=28 clusters)</w:t>
            </w:r>
          </w:p>
        </w:tc>
      </w:tr>
      <w:tr>
        <w:tc>
          <w:tcPr>
            <w:tcW w:type="dxa" w:w="720"/>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H2</w:t>
            </w:r>
          </w:p>
        </w:tc>
        <w:tc>
          <w:tcPr>
            <w:tcW w:type="dxa" w:w="259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Short-Horizon Noise Filtering Gain</w:t>
            </w:r>
          </w:p>
        </w:tc>
        <w:tc>
          <w:tcPr>
            <w:tcW w:type="dxa" w:w="187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Confirmation RMSE (Design B, n=691)</w:t>
            </w:r>
          </w:p>
        </w:tc>
        <w:tc>
          <w:tcPr>
            <w:tcW w:type="dxa" w:w="259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Paired CI vs. single-period persistence strictly excludes zero</w:t>
            </w:r>
          </w:p>
        </w:tc>
        <w:tc>
          <w:tcPr>
            <w:tcW w:type="dxa" w:w="259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Confirmed (RF: 0.412 vs. Single Pers: 0.448; −8.0% error reduction; Ridge captures 89%)</w:t>
            </w:r>
          </w:p>
        </w:tc>
      </w:tr>
      <w:tr>
        <w:tc>
          <w:tcPr>
            <w:tcW w:type="dxa" w:w="720"/>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H3</w:t>
            </w:r>
          </w:p>
        </w:tc>
        <w:tc>
          <w:tcPr>
            <w:tcW w:type="dxa" w:w="259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Multi-Component Noise Filtering Drivers</w:t>
            </w:r>
          </w:p>
        </w:tc>
        <w:tc>
          <w:tcPr>
            <w:tcW w:type="dxa" w:w="187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Ablation Delta RMSE (RF, Design B)</w:t>
            </w:r>
          </w:p>
        </w:tc>
        <w:tc>
          <w:tcPr>
            <w:tcW w:type="dxa" w:w="259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Rate profiles and history account for majority of error reduction</w:t>
            </w:r>
          </w:p>
        </w:tc>
        <w:tc>
          <w:tcPr>
            <w:tcW w:type="dxa" w:w="259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Confirmed on Development Partition (Profiles: −0.028 [62%]; History: −0.017 [38% dev drop in RF forward ablation])</w:t>
            </w:r>
          </w:p>
        </w:tc>
      </w:tr>
      <w:tr>
        <w:tc>
          <w:tcPr>
            <w:tcW w:type="dxa" w:w="720"/>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H4</w:t>
            </w:r>
          </w:p>
        </w:tc>
        <w:tc>
          <w:tcPr>
            <w:tcW w:type="dxa" w:w="259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Contextual &amp; Demographic Invariance</w:t>
            </w:r>
          </w:p>
        </w:tc>
        <w:tc>
          <w:tcPr>
            <w:tcW w:type="dxa" w:w="187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Ablation Delta RMSE (Design B)</w:t>
            </w:r>
          </w:p>
        </w:tc>
        <w:tc>
          <w:tcPr>
            <w:tcW w:type="dxa" w:w="259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Possession context, age splines, and league yield negligible delta</w:t>
            </w:r>
          </w:p>
        </w:tc>
        <w:tc>
          <w:tcPr>
            <w:tcW w:type="dxa" w:w="259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Confirmed on Development Partition (Age, mins, poss CIs span zero; league fixed-effects degrade by +0.003 [+0.001, +0.004])</w:t>
            </w:r>
          </w:p>
        </w:tc>
      </w:tr>
      <w:tr>
        <w:tc>
          <w:tcPr>
            <w:tcW w:type="dxa" w:w="720"/>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H5</w:t>
            </w:r>
          </w:p>
        </w:tc>
        <w:tc>
          <w:tcPr>
            <w:tcW w:type="dxa" w:w="259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Substantially Higher Error for Legacy MCDA</w:t>
            </w:r>
          </w:p>
        </w:tc>
        <w:tc>
          <w:tcPr>
            <w:tcW w:type="dxa" w:w="187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Prospective RMSE &amp; Spearman ρ</w:t>
            </w:r>
          </w:p>
        </w:tc>
        <w:tc>
          <w:tcPr>
            <w:tcW w:type="dxa" w:w="259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Legacy WSM/TOPSIS/VIKOR show substantially higher RMSE than persistence</w:t>
            </w:r>
          </w:p>
        </w:tc>
        <w:tc>
          <w:tcPr>
            <w:tcW w:type="dxa" w:w="259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Confirmed (MCDA RMSE 0.540–0.543 vs. Pers 0.321 in Design A)</w:t>
            </w:r>
          </w:p>
        </w:tc>
      </w:tr>
      <w:tr>
        <w:tc>
          <w:tcPr>
            <w:tcW w:type="dxa" w:w="720"/>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H6</w:t>
            </w:r>
          </w:p>
        </w:tc>
        <w:tc>
          <w:tcPr>
            <w:tcW w:type="dxa" w:w="259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Conformal Interval Coverage Consistency</w:t>
            </w:r>
          </w:p>
        </w:tc>
        <w:tc>
          <w:tcPr>
            <w:tcW w:type="dxa" w:w="187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Empirical Test Coverage %</w:t>
            </w:r>
          </w:p>
        </w:tc>
        <w:tc>
          <w:tcPr>
            <w:tcW w:type="dxa" w:w="259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Observed coverage meets or exceeds nominal 80% and 90% bounds</w:t>
            </w:r>
          </w:p>
        </w:tc>
        <w:tc>
          <w:tcPr>
            <w:tcW w:type="dxa" w:w="259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Confirmed in A (80% nom: 83.9% cov [52/62]; 90% nom: 91.9% cov [57/62] in Design A confirmation; rolling n=102: 81.4% and 91.2%; Design B exhibits moderate under-coverage: 75.5% and 85.2%)</w:t>
            </w:r>
          </w:p>
        </w:tc>
      </w:tr>
      <w:tr>
        <w:tc>
          <w:tcPr>
            <w:tcW w:type="dxa" w:w="720"/>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H7</w:t>
            </w:r>
          </w:p>
        </w:tc>
        <w:tc>
          <w:tcPr>
            <w:tcW w:type="dxa" w:w="259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Candidate Shortlist Discovery Superiority (B)</w:t>
            </w:r>
          </w:p>
        </w:tc>
        <w:tc>
          <w:tcPr>
            <w:tcW w:type="dxa" w:w="187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NDCG@10 &amp; Top-k Lift</w:t>
            </w:r>
          </w:p>
        </w:tc>
        <w:tc>
          <w:tcPr>
            <w:tcW w:type="dxa" w:w="259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Supervised shortlists outperform persistence on candidate discovery in B</w:t>
            </w:r>
          </w:p>
        </w:tc>
        <w:tc>
          <w:tcPr>
            <w:tcW w:type="dxa" w:w="259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Inconclusive (RF Lift +1.37 vs. Pers +1.20; paired diff CI [−0.02, +0.64] spans 0; 60% top-10 list overlap, Jaccard J = 0.43)</w:t>
            </w:r>
          </w:p>
        </w:tc>
      </w:tr>
    </w:tbl>
    <w:p>
      <w:pPr>
        <w:sectPr>
          <w:headerReference w:type="default" r:id="rId13"/>
          <w:footerReference w:type="default" r:id="rId14"/>
          <w:type w:val="continuous"/>
          <w:pgSz w:w="12240" w:h="15840"/>
          <w:pgMar w:top="1080" w:right="900" w:bottom="1080" w:left="900" w:header="720" w:footer="720" w:gutter="0"/>
          <w:docGrid w:linePitch="360"/>
          <w:cols w:num="1" w:space="360"/>
        </w:sectPr>
      </w:pPr>
    </w:p>
    <w:p>
      <w:pPr>
        <w:spacing w:before="160" w:after="50"/>
        <w:ind w:firstLine="0"/>
        <w:jc w:val="center"/>
      </w:pPr>
      <w:r>
        <w:rPr>
          <w:rFonts w:ascii="Times New Roman" w:hAnsi="Times New Roman"/>
          <w:b/>
          <w:i w:val="0"/>
          <w:sz w:val="21"/>
          <w:rFonts w:ascii="Times New Roman" w:hAnsi="Times New Roman" w:cs="Times New Roman"/>
        </w:rPr>
        <w:t>III. DATA LINEAGE, FEASIBILITY, AND PREPROCESSING</w:t>
      </w:r>
    </w:p>
    <w:p>
      <w:pPr>
        <w:spacing w:before="100" w:after="30"/>
        <w:ind w:firstLine="0"/>
        <w:jc w:val="left"/>
      </w:pPr>
      <w:r>
        <w:rPr>
          <w:rFonts w:ascii="Times New Roman" w:hAnsi="Times New Roman"/>
          <w:b/>
          <w:i/>
          <w:sz w:val="20"/>
          <w:rFonts w:ascii="Times New Roman" w:hAnsi="Times New Roman" w:cs="Times New Roman"/>
        </w:rPr>
        <w:t>A. Ingestion Lineage and Panel Topology</w:t>
      </w:r>
    </w:p>
    <w:p>
      <w:pPr>
        <w:spacing w:after="40" w:line="245" w:lineRule="auto"/>
        <w:ind w:firstLine="216"/>
        <w:jc w:val="both"/>
      </w:pPr>
      <w:r>
        <w:rPr>
          <w:rFonts w:ascii="Times New Roman" w:hAnsi="Times New Roman"/>
          <w:b w:val="0"/>
          <w:i w:val="0"/>
          <w:sz w:val="20"/>
          <w:rFonts w:ascii="Times New Roman" w:hAnsi="Times New Roman" w:cs="Times New Roman"/>
        </w:rPr>
        <w:t>Empirical evaluation was conducted using open-source match event telemetry provided by StatsBomb Open Data [28], cross-referenced with historical player valuations from Transfermarkt [29]. StatsBomb Open Data provides match-event telemetry with spatial coordinates normalized to a 120 x 80 yard pitch coordinate system. Each recorded event contains detailed spatial coordinates, timestamps, action success flags, player identity keys, freeze-frame spatial distributions of surrounding players, and tactical event annotations (such as pass length, angle, height, and pressure flags). StatsBomb records are event-based rather than time-sampled: each record represents a discrete ball-contact action or tactical occurrence.</w:t>
      </w:r>
    </w:p>
    <w:p>
      <w:pPr>
        <w:spacing w:after="40" w:line="245" w:lineRule="auto"/>
        <w:ind w:firstLine="216"/>
        <w:jc w:val="both"/>
      </w:pPr>
      <w:r>
        <w:rPr>
          <w:rFonts w:ascii="Times New Roman" w:hAnsi="Times New Roman"/>
          <w:b/>
          <w:i w:val="0"/>
          <w:sz w:val="20"/>
          <w:rFonts w:ascii="Times New Roman" w:hAnsi="Times New Roman" w:cs="Times New Roman"/>
        </w:rPr>
        <w:t xml:space="preserve">Ingestion Regimes: </w:t>
      </w:r>
      <w:r>
        <w:rPr>
          <w:rFonts w:ascii="Times New Roman" w:hAnsi="Times New Roman"/>
          <w:b w:val="0"/>
          <w:i w:val="0"/>
          <w:sz w:val="20"/>
          <w:rFonts w:ascii="Times New Roman" w:hAnsi="Times New Roman" w:cs="Times New Roman"/>
        </w:rPr>
        <w:t>The telemetry spans two distinct historical data regimes:</w:t>
      </w:r>
    </w:p>
    <w:p>
      <w:pPr>
        <w:spacing w:after="40" w:line="245" w:lineRule="auto"/>
        <w:ind w:firstLine="216"/>
        <w:jc w:val="both"/>
      </w:pPr>
      <w:r>
        <w:rPr>
          <w:rFonts w:ascii="Times New Roman" w:hAnsi="Times New Roman"/>
          <w:b w:val="0"/>
          <w:i w:val="0"/>
          <w:sz w:val="20"/>
          <w:rFonts w:ascii="Times New Roman" w:hAnsi="Times New Roman" w:cs="Times New Roman"/>
        </w:rPr>
        <w:t>1) Longitudinal Single-Club Panel (FC Barcelona, 2004/05–2020/21): Tracks the competitive trajectory of FC Barcelona across 17 consecutive Spanish La Liga campaigns. This dataset encompasses 521 domestic league fixtures and 1,842,912 raw event records (440 unique player-season records). These 521 fixtures represent StatsBomb's open 'Lionel Messi Data Biography' release (matches in which Messi was named in the matchday squad), rather than an exhaustive 646-match archive. Early campaigns (2004/05–2006/07) capture a subset of fixtures (7 to 26 matches), which restricts minute accumulation for fringe squad members. However, from 2008/09 onward, coverage consistently provides 31 to 38 league fixtures per season (averaging 34.6 fixtures per campaign across the 11 evaluated test seasons, with 524 league fixtures across the full 17-season panel). Crucially, the 11 sequential test folds in Design A evaluate origin seasons t in [2009/10, 2019/20] predicting prospective destination seasons t+1 in [2010/11, 2020/21]. We note that the FC Barcelona 2015/16 campaign is represented in both designs: as an annual transition within Design A and as part of the Spanish La Liga cohort within Design B.</w:t>
      </w:r>
    </w:p>
    <w:p>
      <w:pPr>
        <w:spacing w:after="40" w:line="245" w:lineRule="auto"/>
        <w:ind w:firstLine="216"/>
        <w:jc w:val="both"/>
      </w:pPr>
      <w:r>
        <w:rPr>
          <w:rFonts w:ascii="Times New Roman" w:hAnsi="Times New Roman"/>
          <w:b w:val="0"/>
          <w:i w:val="0"/>
          <w:sz w:val="20"/>
          <w:rFonts w:ascii="Times New Roman" w:hAnsi="Times New Roman" w:cs="Times New Roman"/>
        </w:rPr>
        <w:t>2) Cross-Sectional Multi-League Panel (2015/16 Season): Captures complete match-event data across four top European domestic leagues during the 2015/16 campaign: Spanish La Liga (380 matches), English Premier League (380 matches), German Bundesliga (306 matches), and Italian Serie A (380 matches). This panel aggregates 1,446 total matches, over 4.8 million match events, and 2,814 individual player-season records, providing broad tactical diversity across varying playing styles and competitive intensities.</w:t>
      </w:r>
    </w:p>
    <w:p>
      <w:pPr>
        <w:spacing w:after="40" w:line="245" w:lineRule="auto"/>
        <w:ind w:firstLine="216"/>
        <w:jc w:val="both"/>
      </w:pPr>
      <w:r>
        <w:rPr>
          <w:rFonts w:ascii="Times New Roman" w:hAnsi="Times New Roman"/>
          <w:b/>
          <w:i w:val="0"/>
          <w:sz w:val="20"/>
          <w:rFonts w:ascii="Times New Roman" w:hAnsi="Times New Roman" w:cs="Times New Roman"/>
        </w:rPr>
        <w:t xml:space="preserve">Dual Operational Validation Designs: </w:t>
      </w:r>
      <w:r>
        <w:rPr>
          <w:rFonts w:ascii="Times New Roman" w:hAnsi="Times New Roman"/>
          <w:b w:val="0"/>
          <w:i w:val="0"/>
          <w:sz w:val="20"/>
          <w:rFonts w:ascii="Times New Roman" w:hAnsi="Times New Roman" w:cs="Times New Roman"/>
        </w:rPr>
        <w:t>To evaluate predictive stability across distinct operational horizons, we construct two empirical validation designs:</w:t>
      </w:r>
    </w:p>
    <w:p>
      <w:pPr>
        <w:spacing w:after="40" w:line="245" w:lineRule="auto"/>
        <w:ind w:firstLine="216"/>
        <w:jc w:val="both"/>
      </w:pPr>
      <w:r>
        <w:rPr>
          <w:rFonts w:ascii="Times New Roman" w:hAnsi="Times New Roman"/>
          <w:b w:val="0"/>
          <w:i w:val="0"/>
          <w:sz w:val="20"/>
          <w:rFonts w:ascii="Times New Roman" w:hAnsi="Times New Roman" w:cs="Times New Roman"/>
        </w:rPr>
        <w:t>Design A (Next-Season Longitudinal Panel): Evaluates prospective annual forecasting (season t to season t+1) within the FC Barcelona panel. To ensure statistical reliability and eliminate low-sample noise, an eligibility threshold of at least 450 outfield minutes played in both origin season t and destination season t+1 is enforced. Applying this criterion yields 143 valid adjacent player-season transitions spanning 11 sequential test folds (2009/10 through 2019/20). Goalkeepers are excluded due to fundamentally distinct technical responsibilities.</w:t>
      </w:r>
    </w:p>
    <w:p>
      <w:pPr>
        <w:spacing w:after="40" w:line="245" w:lineRule="auto"/>
        <w:ind w:firstLine="216"/>
        <w:jc w:val="both"/>
      </w:pPr>
      <w:r>
        <w:rPr>
          <w:rFonts w:ascii="Times New Roman" w:hAnsi="Times New Roman"/>
          <w:b w:val="0"/>
          <w:i w:val="0"/>
          <w:sz w:val="20"/>
          <w:rFonts w:ascii="Times New Roman" w:hAnsi="Times New Roman" w:cs="Times New Roman"/>
        </w:rPr>
        <w:t>Design B (Multi-League Intra-Season Block Panel): Evaluates short-horizon forecasting across the four 2015/16 European domestic leagues. To simulate intra-season recruitment and mid-season transfer windows, each domestic campaign is partitioned chronologically into sequential competitive blocks. For La Liga, Premier League, and Serie A (38-match seasons), this yields four 9-matchweek blocks (MW 1–9, MW 10–18, MW 19–27, MW 28–36; the final 2 matchweeks are omitted to ensure equal block duration). For the German Bundesliga (34-match season, 306 fixtures), blocks 1–3 span MW 1–9, MW 10–18, and MW 19–27 (9 weeks each), while block 4 covers MW 28–33 (6 matchweeks, with final MW 34 omitted for league closure). Because block 4 spans 6 matchweeks (540 maximum available minutes), the 450-minute threshold requires athletes to play at least 83% of available minutes in that window, conditioning on regular starters. Enforcing the 450-minute threshold across adjacent blocks yields 1,382 eligible player-block transitions across 805 unique outfield athletes. In parallel, a half-season partition yields 644 transitions with a 900-minute threshold.</w:t>
      </w:r>
    </w:p>
    <w:p>
      <w:pPr>
        <w:sectPr>
          <w:headerReference w:type="default" r:id="rId15"/>
          <w:footerReference w:type="default" r:id="rId16"/>
          <w:type w:val="continuous"/>
          <w:pgSz w:w="12240" w:h="15840"/>
          <w:pgMar w:top="1080" w:right="900" w:bottom="1080" w:left="900" w:header="720" w:footer="720" w:gutter="0"/>
          <w:docGrid w:linePitch="360"/>
          <w:cols w:num="2" w:space="360"/>
        </w:sectPr>
      </w:pPr>
    </w:p>
    <w:p>
      <w:pPr>
        <w:spacing w:before="100" w:after="16"/>
        <w:ind w:firstLine="0"/>
        <w:jc w:val="center"/>
      </w:pPr>
      <w:r>
        <w:rPr>
          <w:rFonts w:ascii="Times New Roman" w:hAnsi="Times New Roman"/>
          <w:b/>
          <w:i w:val="0"/>
          <w:sz w:val="17"/>
          <w:rFonts w:ascii="Times New Roman" w:hAnsi="Times New Roman" w:cs="Times New Roman"/>
        </w:rPr>
        <w:t>TABLE II</w:t>
      </w:r>
    </w:p>
    <w:p>
      <w:pPr>
        <w:spacing w:after="40"/>
        <w:ind w:firstLine="0"/>
        <w:jc w:val="center"/>
      </w:pPr>
      <w:r>
        <w:rPr>
          <w:rFonts w:ascii="Times New Roman" w:hAnsi="Times New Roman"/>
          <w:b/>
          <w:i w:val="0"/>
          <w:sz w:val="16"/>
          <w:rFonts w:ascii="Times New Roman" w:hAnsi="Times New Roman" w:cs="Times New Roman"/>
        </w:rPr>
        <w:t>SYSTEMATIC DATA LINEAGE AND SAMPLE SELECTION FUNNEL ACROSS LONGITUDINAL AND MULTI-LEAGUE REGIMES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D1D5DB"/>
          <w:insideV w:val="none"/>
          <w:left w:val="none"/>
          <w:right w:val="none"/>
        </w:tblBorders>
      </w:tblPr>
      <w:tblGrid>
        <w:gridCol w:w="1740"/>
        <w:gridCol w:w="1740"/>
        <w:gridCol w:w="1740"/>
        <w:gridCol w:w="1740"/>
        <w:gridCol w:w="1740"/>
        <w:gridCol w:w="1740"/>
      </w:tblGrid>
      <w:tr>
        <w:tc>
          <w:tcPr>
            <w:tcW w:type="dxa" w:w="2160"/>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Dataset / Partition</w:t>
            </w:r>
          </w:p>
        </w:tc>
        <w:tc>
          <w:tcPr>
            <w:tcW w:type="dxa" w:w="1296"/>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Raw Event Count</w:t>
            </w:r>
          </w:p>
        </w:tc>
        <w:tc>
          <w:tcPr>
            <w:tcW w:type="dxa" w:w="1008"/>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Match Count</w:t>
            </w:r>
          </w:p>
        </w:tc>
        <w:tc>
          <w:tcPr>
            <w:tcW w:type="dxa" w:w="1728"/>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Gross Player Records</w:t>
            </w:r>
          </w:p>
        </w:tc>
        <w:tc>
          <w:tcPr>
            <w:tcW w:type="dxa" w:w="2160"/>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Eligible Outfield Transitions (&gt;= 450 min)</w:t>
            </w:r>
          </w:p>
        </w:tc>
        <w:tc>
          <w:tcPr>
            <w:tcW w:type="dxa" w:w="2016"/>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Temporal Horizon</w:t>
            </w:r>
          </w:p>
        </w:tc>
      </w:tr>
      <w:tr>
        <w:tc>
          <w:tcPr>
            <w:tcW w:type="dxa" w:w="2160"/>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StatsBomb Barcelona (Longitudinal)</w:t>
            </w:r>
          </w:p>
        </w:tc>
        <w:tc>
          <w:tcPr>
            <w:tcW w:type="dxa" w:w="1296"/>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1,842,912</w:t>
            </w:r>
          </w:p>
        </w:tc>
        <w:tc>
          <w:tcPr>
            <w:tcW w:type="dxa" w:w="1008"/>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521</w:t>
            </w:r>
          </w:p>
        </w:tc>
        <w:tc>
          <w:tcPr>
            <w:tcW w:type="dxa" w:w="1728"/>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440 player-seasons</w:t>
            </w:r>
          </w:p>
        </w:tc>
        <w:tc>
          <w:tcPr>
            <w:tcW w:type="dxa" w:w="2160"/>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143 adjacent pairs (Dev: 81 across 28 players; Conf: 62 across 28 players; K=45 total unique)</w:t>
            </w:r>
          </w:p>
        </w:tc>
        <w:tc>
          <w:tcPr>
            <w:tcW w:type="dxa" w:w="2016"/>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17 Seasons (2004/05–2020/21)</w:t>
            </w:r>
          </w:p>
        </w:tc>
      </w:tr>
      <w:tr>
        <w:tc>
          <w:tcPr>
            <w:tcW w:type="dxa" w:w="2160"/>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StatsBomb 4-Leagues (Cross-Sectional)</w:t>
            </w:r>
          </w:p>
        </w:tc>
        <w:tc>
          <w:tcPr>
            <w:tcW w:type="dxa" w:w="129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4,821,104</w:t>
            </w:r>
          </w:p>
        </w:tc>
        <w:tc>
          <w:tcPr>
            <w:tcW w:type="dxa" w:w="1008"/>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1,446</w:t>
            </w:r>
          </w:p>
        </w:tc>
        <w:tc>
          <w:tcPr>
            <w:tcW w:type="dxa" w:w="1728"/>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2,814 player-seasons</w:t>
            </w:r>
          </w:p>
        </w:tc>
        <w:tc>
          <w:tcPr>
            <w:tcW w:type="dxa" w:w="2160"/>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1,382 block pairs (Dev: 691, Conf: 691; 805 unique players)</w:t>
            </w:r>
          </w:p>
        </w:tc>
        <w:tc>
          <w:tcPr>
            <w:tcW w:type="dxa" w:w="201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1 Season (2015/16, 4 Leagues)</w:t>
            </w:r>
          </w:p>
        </w:tc>
      </w:tr>
      <w:tr>
        <w:tc>
          <w:tcPr>
            <w:tcW w:type="dxa" w:w="2160"/>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StatsBomb 4-Leagues (Half-Season)</w:t>
            </w:r>
          </w:p>
        </w:tc>
        <w:tc>
          <w:tcPr>
            <w:tcW w:type="dxa" w:w="1296"/>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4,821,104</w:t>
            </w:r>
          </w:p>
        </w:tc>
        <w:tc>
          <w:tcPr>
            <w:tcW w:type="dxa" w:w="1008"/>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1,446</w:t>
            </w:r>
          </w:p>
        </w:tc>
        <w:tc>
          <w:tcPr>
            <w:tcW w:type="dxa" w:w="1728"/>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2,814 player-seasons</w:t>
            </w:r>
          </w:p>
        </w:tc>
        <w:tc>
          <w:tcPr>
            <w:tcW w:type="dxa" w:w="2160"/>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644 adjacent 19-MW halves</w:t>
            </w:r>
          </w:p>
        </w:tc>
        <w:tc>
          <w:tcPr>
            <w:tcW w:type="dxa" w:w="2016"/>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1 Season (2015/16, 4 Leagues)</w:t>
            </w:r>
          </w:p>
        </w:tc>
      </w:tr>
      <w:tr>
        <w:tc>
          <w:tcPr>
            <w:tcW w:type="dxa" w:w="2160"/>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Transfermarkt Registry (Valuations)</w:t>
            </w:r>
          </w:p>
        </w:tc>
        <w:tc>
          <w:tcPr>
            <w:tcW w:type="dxa" w:w="129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656,301 valuation records (39.6 MB)</w:t>
            </w:r>
          </w:p>
        </w:tc>
        <w:tc>
          <w:tcPr>
            <w:tcW w:type="dxa" w:w="1008"/>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64,210 tracked matches</w:t>
            </w:r>
          </w:p>
        </w:tc>
        <w:tc>
          <w:tcPr>
            <w:tcW w:type="dxa" w:w="1728"/>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43,812 unique athletes</w:t>
            </w:r>
          </w:p>
        </w:tc>
        <w:tc>
          <w:tcPr>
            <w:tcW w:type="dxa" w:w="2160"/>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1,124 linked historical pairs (162 tested)</w:t>
            </w:r>
          </w:p>
        </w:tc>
        <w:tc>
          <w:tcPr>
            <w:tcW w:type="dxa" w:w="201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2004–2024 Historical</w:t>
            </w:r>
          </w:p>
        </w:tc>
      </w:tr>
    </w:tbl>
    <w:p>
      <w:pPr>
        <w:sectPr>
          <w:headerReference w:type="default" r:id="rId17"/>
          <w:footerReference w:type="default" r:id="rId18"/>
          <w:type w:val="continuous"/>
          <w:pgSz w:w="12240" w:h="15840"/>
          <w:pgMar w:top="1080" w:right="900" w:bottom="1080" w:left="900" w:header="720" w:footer="720" w:gutter="0"/>
          <w:docGrid w:linePitch="360"/>
          <w:cols w:num="1" w:space="360"/>
        </w:sectPr>
      </w:pPr>
    </w:p>
    <w:p>
      <w:pPr>
        <w:spacing w:before="100" w:after="30"/>
        <w:ind w:firstLine="0"/>
        <w:jc w:val="left"/>
      </w:pPr>
      <w:r>
        <w:rPr>
          <w:rFonts w:ascii="Times New Roman" w:hAnsi="Times New Roman"/>
          <w:b/>
          <w:i/>
          <w:sz w:val="20"/>
          <w:rFonts w:ascii="Times New Roman" w:hAnsi="Times New Roman" w:cs="Times New Roman"/>
        </w:rPr>
        <w:t>B. Entity Resolution and Transfermarkt Deterministic Crosswalk</w:t>
      </w:r>
    </w:p>
    <w:p>
      <w:pPr>
        <w:spacing w:after="40" w:line="245" w:lineRule="auto"/>
        <w:ind w:firstLine="216"/>
        <w:jc w:val="both"/>
      </w:pPr>
      <w:r>
        <w:rPr>
          <w:rFonts w:ascii="Times New Roman" w:hAnsi="Times New Roman"/>
          <w:b w:val="0"/>
          <w:i w:val="0"/>
          <w:sz w:val="20"/>
          <w:rFonts w:ascii="Times New Roman" w:hAnsi="Times New Roman" w:cs="Times New Roman"/>
        </w:rPr>
        <w:t>To merge technical match-event rates from StatsBomb with external demographic, positional, and economic valuation metrics from Transfermarkt, we constructed a deterministic entity-resolution crosswalk. Athletes were matched through a tiered cascading pipeline: (Tier 1) exact match on standardized alphanumeric player name tokens combined with verified club affiliation during the target season; (Tier 2) standardized ASCII name token match with birthdate verification (±365 days); and (Tier 3) manual disambiguation for complex paternal/maternal naming conventions (e.g., verifying Sergi Roberto Carnicer and Martin Braithwaite Christensen) verified against public club roster profiles. Across all 143 eligible Barcelona transitions, deterministic linkage achieved a 95.8% verified match rate (137 resolved athlete-season transitions; Table III), with 6 unlinked transitions lacking historical Transfermarkt market valuation records despite satisfying match-minute eligibility. The secondary valuation benchmark evaluates n = 162 tested transition instances across the broader club panel (87 development, 75 confirmation).</w:t>
      </w:r>
    </w:p>
    <w:p>
      <w:pPr>
        <w:sectPr>
          <w:headerReference w:type="default" r:id="rId19"/>
          <w:footerReference w:type="default" r:id="rId20"/>
          <w:type w:val="continuous"/>
          <w:pgSz w:w="12240" w:h="15840"/>
          <w:pgMar w:top="1080" w:right="900" w:bottom="1080" w:left="900" w:header="720" w:footer="720" w:gutter="0"/>
          <w:docGrid w:linePitch="360"/>
          <w:cols w:num="2" w:space="360"/>
        </w:sectPr>
      </w:pPr>
    </w:p>
    <w:p>
      <w:pPr>
        <w:spacing w:before="100" w:after="16"/>
        <w:ind w:firstLine="0"/>
        <w:jc w:val="center"/>
      </w:pPr>
      <w:r>
        <w:rPr>
          <w:rFonts w:ascii="Times New Roman" w:hAnsi="Times New Roman"/>
          <w:b/>
          <w:i w:val="0"/>
          <w:sz w:val="17"/>
          <w:rFonts w:ascii="Times New Roman" w:hAnsi="Times New Roman" w:cs="Times New Roman"/>
        </w:rPr>
        <w:t>TABLE III</w:t>
      </w:r>
    </w:p>
    <w:p>
      <w:pPr>
        <w:spacing w:after="40"/>
        <w:ind w:firstLine="0"/>
        <w:jc w:val="center"/>
      </w:pPr>
      <w:r>
        <w:rPr>
          <w:rFonts w:ascii="Times New Roman" w:hAnsi="Times New Roman"/>
          <w:b/>
          <w:i w:val="0"/>
          <w:sz w:val="16"/>
          <w:rFonts w:ascii="Times New Roman" w:hAnsi="Times New Roman" w:cs="Times New Roman"/>
        </w:rPr>
        <w:t>TRANSFERMARKT DETERMINISTIC ENTITY RESOLUTION CROSSWALK LINKAGE TIERS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D1D5DB"/>
          <w:insideV w:val="none"/>
          <w:left w:val="none"/>
          <w:right w:val="none"/>
        </w:tblBorders>
      </w:tblPr>
      <w:tblGrid>
        <w:gridCol w:w="2088"/>
        <w:gridCol w:w="2088"/>
        <w:gridCol w:w="2088"/>
        <w:gridCol w:w="2088"/>
        <w:gridCol w:w="2088"/>
      </w:tblGrid>
      <w:tr>
        <w:tc>
          <w:tcPr>
            <w:tcW w:type="dxa" w:w="1152"/>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Linkage Tier</w:t>
            </w:r>
          </w:p>
        </w:tc>
        <w:tc>
          <w:tcPr>
            <w:tcW w:type="dxa" w:w="2592"/>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Matching Methodology</w:t>
            </w:r>
          </w:p>
        </w:tc>
        <w:tc>
          <w:tcPr>
            <w:tcW w:type="dxa" w:w="3312"/>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Verification Constraints</w:t>
            </w:r>
          </w:p>
        </w:tc>
        <w:tc>
          <w:tcPr>
            <w:tcW w:type="dxa" w:w="1584"/>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Candidate Matches</w:t>
            </w:r>
          </w:p>
        </w:tc>
        <w:tc>
          <w:tcPr>
            <w:tcW w:type="dxa" w:w="1728"/>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Linkage Yield (%)</w:t>
            </w:r>
          </w:p>
        </w:tc>
      </w:tr>
      <w:tr>
        <w:tc>
          <w:tcPr>
            <w:tcW w:type="dxa" w:w="1152"/>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Tier 1</w:t>
            </w:r>
          </w:p>
        </w:tc>
        <w:tc>
          <w:tcPr>
            <w:tcW w:type="dxa" w:w="259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Deterministic Token + Club</w:t>
            </w:r>
          </w:p>
        </w:tc>
        <w:tc>
          <w:tcPr>
            <w:tcW w:type="dxa" w:w="331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Exact ASCII string match + season-club coincidence</w:t>
            </w:r>
          </w:p>
        </w:tc>
        <w:tc>
          <w:tcPr>
            <w:tcW w:type="dxa" w:w="158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122 transitions</w:t>
            </w:r>
          </w:p>
        </w:tc>
        <w:tc>
          <w:tcPr>
            <w:tcW w:type="dxa" w:w="1728"/>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85.3%</w:t>
            </w:r>
          </w:p>
        </w:tc>
      </w:tr>
      <w:tr>
        <w:tc>
          <w:tcPr>
            <w:tcW w:type="dxa" w:w="1152"/>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Tier 2</w:t>
            </w:r>
          </w:p>
        </w:tc>
        <w:tc>
          <w:tcPr>
            <w:tcW w:type="dxa" w:w="259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Token + Birthdate Alignment</w:t>
            </w:r>
          </w:p>
        </w:tc>
        <w:tc>
          <w:tcPr>
            <w:tcW w:type="dxa" w:w="331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Fuzzy token match + birth year/month congruence</w:t>
            </w:r>
          </w:p>
        </w:tc>
        <w:tc>
          <w:tcPr>
            <w:tcW w:type="dxa" w:w="158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11 transitions</w:t>
            </w:r>
          </w:p>
        </w:tc>
        <w:tc>
          <w:tcPr>
            <w:tcW w:type="dxa" w:w="1728"/>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7.7%</w:t>
            </w:r>
          </w:p>
        </w:tc>
      </w:tr>
      <w:tr>
        <w:tc>
          <w:tcPr>
            <w:tcW w:type="dxa" w:w="1152"/>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Tier 3</w:t>
            </w:r>
          </w:p>
        </w:tc>
        <w:tc>
          <w:tcPr>
            <w:tcW w:type="dxa" w:w="259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Manual Disambiguation</w:t>
            </w:r>
          </w:p>
        </w:tc>
        <w:tc>
          <w:tcPr>
            <w:tcW w:type="dxa" w:w="331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Manual check against public club roster profiles</w:t>
            </w:r>
          </w:p>
        </w:tc>
        <w:tc>
          <w:tcPr>
            <w:tcW w:type="dxa" w:w="158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4 transitions</w:t>
            </w:r>
          </w:p>
        </w:tc>
        <w:tc>
          <w:tcPr>
            <w:tcW w:type="dxa" w:w="1728"/>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2.8%</w:t>
            </w:r>
          </w:p>
        </w:tc>
      </w:tr>
      <w:tr>
        <w:tc>
          <w:tcPr>
            <w:tcW w:type="dxa" w:w="1152"/>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Unlinked</w:t>
            </w:r>
          </w:p>
        </w:tc>
        <w:tc>
          <w:tcPr>
            <w:tcW w:type="dxa" w:w="259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Data Attrition</w:t>
            </w:r>
          </w:p>
        </w:tc>
        <w:tc>
          <w:tcPr>
            <w:tcW w:type="dxa" w:w="331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Records lacking external valuations in Transfermarkt snapshot</w:t>
            </w:r>
          </w:p>
        </w:tc>
        <w:tc>
          <w:tcPr>
            <w:tcW w:type="dxa" w:w="158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6 transitions</w:t>
            </w:r>
          </w:p>
        </w:tc>
        <w:tc>
          <w:tcPr>
            <w:tcW w:type="dxa" w:w="1728"/>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4.2%</w:t>
            </w:r>
          </w:p>
        </w:tc>
      </w:tr>
    </w:tbl>
    <w:p>
      <w:pPr>
        <w:sectPr>
          <w:headerReference w:type="default" r:id="rId21"/>
          <w:footerReference w:type="default" r:id="rId22"/>
          <w:type w:val="continuous"/>
          <w:pgSz w:w="12240" w:h="15840"/>
          <w:pgMar w:top="1080" w:right="900" w:bottom="1080" w:left="900" w:header="720" w:footer="720" w:gutter="0"/>
          <w:docGrid w:linePitch="360"/>
          <w:cols w:num="1" w:space="360"/>
        </w:sectPr>
      </w:pPr>
    </w:p>
    <w:p>
      <w:pPr>
        <w:spacing w:before="160" w:after="50"/>
        <w:ind w:firstLine="0"/>
        <w:jc w:val="center"/>
      </w:pPr>
      <w:r>
        <w:rPr>
          <w:rFonts w:ascii="Times New Roman" w:hAnsi="Times New Roman"/>
          <w:b/>
          <w:i w:val="0"/>
          <w:sz w:val="21"/>
          <w:rFonts w:ascii="Times New Roman" w:hAnsi="Times New Roman" w:cs="Times New Roman"/>
        </w:rPr>
        <w:t>IV. METHODOLOGICAL FRAMEWORK</w:t>
      </w:r>
    </w:p>
    <w:p>
      <w:pPr>
        <w:spacing w:before="100" w:after="30"/>
        <w:ind w:firstLine="0"/>
        <w:jc w:val="left"/>
      </w:pPr>
      <w:r>
        <w:rPr>
          <w:rFonts w:ascii="Times New Roman" w:hAnsi="Times New Roman"/>
          <w:b/>
          <w:i/>
          <w:sz w:val="20"/>
          <w:rFonts w:ascii="Times New Roman" w:hAnsi="Times New Roman" w:cs="Times New Roman"/>
        </w:rPr>
        <w:t>A. System Architecture and Pipeline Block Diagram</w:t>
      </w:r>
    </w:p>
    <w:p>
      <w:pPr>
        <w:spacing w:after="40" w:line="245" w:lineRule="auto"/>
        <w:ind w:firstLine="216"/>
        <w:jc w:val="both"/>
      </w:pPr>
      <w:r>
        <w:rPr>
          <w:rFonts w:ascii="Times New Roman" w:hAnsi="Times New Roman"/>
          <w:b w:val="0"/>
          <w:i w:val="0"/>
          <w:sz w:val="20"/>
          <w:rFonts w:ascii="Times New Roman" w:hAnsi="Times New Roman" w:cs="Times New Roman"/>
        </w:rPr>
        <w:t>To provide a reproducible foundation for talent development prediction, the complete analytical pipeline is organized into five interlocking processing tiers (Fig. 1). The architecture establishes chronological boundaries between historical training windows and forward evaluation horizons, eliminating look-ahead leakage prior to conformal calibration and shortlist generation.</w:t>
      </w:r>
    </w:p>
    <w:p>
      <w:pPr>
        <w:sectPr>
          <w:headerReference w:type="default" r:id="rId23"/>
          <w:footerReference w:type="default" r:id="rId24"/>
          <w:type w:val="continuous"/>
          <w:pgSz w:w="12240" w:h="15840"/>
          <w:pgMar w:top="1080" w:right="900" w:bottom="1080" w:left="900" w:header="720" w:footer="720" w:gutter="0"/>
          <w:docGrid w:linePitch="360"/>
          <w:cols w:num="2" w:space="360"/>
        </w:sectPr>
      </w:pPr>
    </w:p>
    <w:p>
      <w:pPr>
        <w:spacing w:before="80" w:after="20"/>
        <w:ind w:firstLine="0"/>
        <w:jc w:val="center"/>
      </w:pPr>
      <w:r>
        <w:drawing>
          <wp:inline xmlns:a="http://schemas.openxmlformats.org/drawingml/2006/main" xmlns:pic="http://schemas.openxmlformats.org/drawingml/2006/picture">
            <wp:extent cx="5669280" cy="3559780"/>
            <wp:docPr id="1" name="Picture 1"/>
            <wp:cNvGraphicFramePr>
              <a:graphicFrameLocks noChangeAspect="1"/>
            </wp:cNvGraphicFramePr>
            <a:graphic>
              <a:graphicData uri="http://schemas.openxmlformats.org/drawingml/2006/picture">
                <pic:pic>
                  <pic:nvPicPr>
                    <pic:cNvPr id="0" name="methodology_architecture.png"/>
                    <pic:cNvPicPr/>
                  </pic:nvPicPr>
                  <pic:blipFill>
                    <a:blip r:embed="rId27"/>
                    <a:stretch>
                      <a:fillRect/>
                    </a:stretch>
                  </pic:blipFill>
                  <pic:spPr>
                    <a:xfrm>
                      <a:off x="0" y="0"/>
                      <a:ext cx="5669280" cy="3559780"/>
                    </a:xfrm>
                    <a:prstGeom prst="rect"/>
                  </pic:spPr>
                </pic:pic>
              </a:graphicData>
            </a:graphic>
          </wp:inline>
        </w:drawing>
      </w:r>
    </w:p>
    <w:p>
      <w:pPr>
        <w:spacing w:after="80"/>
        <w:ind w:firstLine="0"/>
        <w:jc w:val="center"/>
      </w:pPr>
      <w:r>
        <w:rPr>
          <w:rFonts w:ascii="Times New Roman" w:hAnsi="Times New Roman"/>
          <w:b/>
          <w:sz w:val="17"/>
        </w:rPr>
        <w:t xml:space="preserve">Fig. 1. </w:t>
      </w:r>
      <w:r>
        <w:rPr>
          <w:rFonts w:ascii="Times New Roman" w:hAnsi="Times New Roman"/>
          <w:i/>
          <w:sz w:val="17"/>
        </w:rPr>
        <w:t>End-to-end methodological system architecture of the proposed scouting benchmark. The framework establishes strict chronological boundaries between historical training windows τ ≤ t and held-out evaluation transitions t → t+1, eliminating target circularity and temporal identity leakage prior to split-conformal calibration [13], [14] under approximate exchangeability and candidate shortlist generation.</w:t>
      </w:r>
    </w:p>
    <w:p>
      <w:pPr>
        <w:sectPr>
          <w:headerReference w:type="default" r:id="rId25"/>
          <w:footerReference w:type="default" r:id="rId26"/>
          <w:type w:val="continuous"/>
          <w:pgSz w:w="12240" w:h="15840"/>
          <w:pgMar w:top="1080" w:right="900" w:bottom="1080" w:left="900" w:header="720" w:footer="720" w:gutter="0"/>
          <w:docGrid w:linePitch="360"/>
          <w:cols w:num="1" w:space="360"/>
        </w:sectPr>
      </w:pPr>
    </w:p>
    <w:p>
      <w:pPr>
        <w:spacing w:before="100" w:after="30"/>
        <w:ind w:firstLine="0"/>
        <w:jc w:val="left"/>
      </w:pPr>
      <w:r>
        <w:rPr>
          <w:rFonts w:ascii="Times New Roman" w:hAnsi="Times New Roman"/>
          <w:b/>
          <w:i/>
          <w:sz w:val="20"/>
          <w:rFonts w:ascii="Times New Roman" w:hAnsi="Times New Roman" w:cs="Times New Roman"/>
        </w:rPr>
        <w:t>B. Formulation of the Non-Circular Performance Index (PI)</w:t>
      </w:r>
    </w:p>
    <w:p>
      <w:pPr>
        <w:spacing w:after="40" w:line="245" w:lineRule="auto"/>
        <w:ind w:firstLine="216"/>
        <w:jc w:val="both"/>
      </w:pPr>
      <w:r>
        <w:rPr>
          <w:rFonts w:ascii="Times New Roman" w:hAnsi="Times New Roman"/>
          <w:b w:val="0"/>
          <w:i w:val="0"/>
          <w:sz w:val="20"/>
          <w:rFonts w:ascii="Times New Roman" w:hAnsi="Times New Roman" w:cs="Times New Roman"/>
        </w:rPr>
        <w:t>A central requirement of prospective talent evaluation is target independence: the target label must represent genuine on-pitch effectiveness without mechanically rewarding raw playing time. We engineer a non-circular Performance Index (PI) that emphasizes process and progression actions, enforces equal weighting across constituent components, excludes gross playing time, and normalizes scores against historical reference distributions.</w:t>
      </w:r>
    </w:p>
    <w:p>
      <w:pPr>
        <w:spacing w:after="40" w:line="245" w:lineRule="auto"/>
        <w:ind w:firstLine="216"/>
        <w:jc w:val="both"/>
      </w:pPr>
      <w:r>
        <w:rPr>
          <w:rFonts w:ascii="Times New Roman" w:hAnsi="Times New Roman"/>
          <w:b w:val="0"/>
          <w:i w:val="0"/>
          <w:sz w:val="20"/>
          <w:rFonts w:ascii="Times New Roman" w:hAnsi="Times New Roman" w:cs="Times New Roman"/>
        </w:rPr>
        <w:t>Let G = {DEF, MID, FWD} denote outfield tactical position cohorts. For position group g in G, let M_g represent the pre-specified set of constituent per-90 metrics, and let s_m in {-1, +1} denote the optimization sign (Table IV). In our implementation, each position group comprises exactly |M_g| = 6 constituent metrics. For player i with observed rate x_{i,m} at scouting origin t, the standardized score is:</w:t>
      </w:r>
    </w:p>
    <w:p>
      <w:pPr>
        <w:spacing w:before="50" w:after="50"/>
        <w:ind w:firstLine="0"/>
        <w:jc w:val="center"/>
      </w:pPr>
      <w:r>
        <w:rPr>
          <w:rFonts w:ascii="Times New Roman" w:hAnsi="Times New Roman"/>
          <w:b w:val="0"/>
          <w:i/>
          <w:sz w:val="20"/>
          <w:rFonts w:ascii="Times New Roman" w:hAnsi="Times New Roman" w:cs="Times New Roman"/>
        </w:rPr>
        <w:t>z_{i,m} = ( x_{i,m} - μ_{m,g(t)}^{(τ)} ) / σ_{m,g(t)}^{(τ)}</w:t>
      </w:r>
      <w:r>
        <w:rPr>
          <w:rFonts w:ascii="Times New Roman" w:hAnsi="Times New Roman"/>
          <w:b w:val="0"/>
          <w:i w:val="0"/>
          <w:sz w:val="19"/>
          <w:rFonts w:ascii="Times New Roman" w:hAnsi="Times New Roman" w:cs="Times New Roman"/>
        </w:rPr>
        <w:t xml:space="preserve">    (1)</w:t>
      </w:r>
    </w:p>
    <w:p>
      <w:pPr>
        <w:spacing w:after="40" w:line="245" w:lineRule="auto"/>
        <w:ind w:firstLine="216"/>
        <w:jc w:val="both"/>
      </w:pPr>
      <w:r>
        <w:rPr>
          <w:rFonts w:ascii="Times New Roman" w:hAnsi="Times New Roman"/>
          <w:b w:val="0"/>
          <w:i w:val="0"/>
          <w:sz w:val="20"/>
          <w:rFonts w:ascii="Times New Roman" w:hAnsi="Times New Roman" w:cs="Times New Roman"/>
        </w:rPr>
        <w:t>where reference parameters μ_{m,g(t)}^{(τ)} and σ_{m,g(t)}^{(τ)} denote the sample mean and standard deviation of metric m within position group g(t), calculated strictly over historical training seasons τ &lt;= t. To eliminate role look-ahead leakage, candidate evaluation at scouting origin t computes target labels using origin-season position references g(t). Sensitivity checks confirm that utilizing origin-season versus realized future position group yields identical confirmation benchmark rankings (Delta RMSE &lt; 0.001).</w:t>
      </w:r>
    </w:p>
    <w:p>
      <w:pPr>
        <w:spacing w:after="40" w:line="245" w:lineRule="auto"/>
        <w:ind w:firstLine="216"/>
        <w:jc w:val="both"/>
      </w:pPr>
      <w:r>
        <w:rPr>
          <w:rFonts w:ascii="Times New Roman" w:hAnsi="Times New Roman"/>
          <w:b/>
          <w:i w:val="0"/>
          <w:sz w:val="20"/>
          <w:rFonts w:ascii="Times New Roman" w:hAnsi="Times New Roman" w:cs="Times New Roman"/>
        </w:rPr>
        <w:t xml:space="preserve">Definition 1 (Performance Index): </w:t>
      </w:r>
      <w:r>
        <w:rPr>
          <w:rFonts w:ascii="Times New Roman" w:hAnsi="Times New Roman"/>
          <w:b w:val="0"/>
          <w:i w:val="0"/>
          <w:sz w:val="20"/>
          <w:rFonts w:ascii="Times New Roman" w:hAnsi="Times New Roman" w:cs="Times New Roman"/>
        </w:rPr>
        <w:t>The composite Performance Index PI_i is defined as the sign-adjusted, equal-weighted standardized sum:</w:t>
      </w:r>
    </w:p>
    <w:p>
      <w:pPr>
        <w:spacing w:before="50" w:after="50"/>
        <w:ind w:firstLine="0"/>
        <w:jc w:val="center"/>
      </w:pPr>
      <w:r>
        <w:rPr>
          <w:rFonts w:ascii="Times New Roman" w:hAnsi="Times New Roman"/>
          <w:b w:val="0"/>
          <w:i/>
          <w:sz w:val="20"/>
          <w:rFonts w:ascii="Times New Roman" w:hAnsi="Times New Roman" w:cs="Times New Roman"/>
        </w:rPr>
        <w:t>PI_i = ( 1 / |M_g| ) * ∑_{m ∈ M_g} s_m z_{i,m}</w:t>
      </w:r>
      <w:r>
        <w:rPr>
          <w:rFonts w:ascii="Times New Roman" w:hAnsi="Times New Roman"/>
          <w:b w:val="0"/>
          <w:i w:val="0"/>
          <w:sz w:val="19"/>
          <w:rFonts w:ascii="Times New Roman" w:hAnsi="Times New Roman" w:cs="Times New Roman"/>
        </w:rPr>
        <w:t xml:space="preserve">    (2)</w:t>
      </w:r>
    </w:p>
    <w:p>
      <w:pPr>
        <w:spacing w:after="40" w:line="245" w:lineRule="auto"/>
        <w:ind w:firstLine="216"/>
        <w:jc w:val="both"/>
      </w:pPr>
      <w:r>
        <w:rPr>
          <w:rFonts w:ascii="Times New Roman" w:hAnsi="Times New Roman"/>
          <w:b w:val="0"/>
          <w:i w:val="0"/>
          <w:sz w:val="20"/>
          <w:rFonts w:ascii="Times New Roman" w:hAnsi="Times New Roman" w:cs="Times New Roman"/>
        </w:rPr>
        <w:t>In equal-weighted average formulation (Appendix A, Remark 1), scaling by 1/|M_g| bounds the composite index on the scale of an average z-score, with theoretical variance Var(PI) = 1/|M_g| under mutually independent standard normal components (for |M_g| = 6, theoretical Var = 0.167; empirical Var = 0.343 due to positive inter-metric correlations). In Design A, reference parameters are computed over Barcelona outfield squad members satisfying the eligibility threshold in training seasons τ &lt;= t; consequently, 'cohort mean' refers specifically to the historical FC Barcelona squad average, representing an elite club standard rather than a league-wide population mean. In Design B, reference parameters are estimated across all participating clubs in the four European domestic leagues. As visualized in Fig. 2, observed athletic performance exhibits strong linear autoregressive coupling across consecutive seasons, with empirical regression toward cohort means.</w:t>
      </w:r>
    </w:p>
    <w:p>
      <w:pPr>
        <w:spacing w:before="80" w:after="20"/>
        <w:ind w:firstLine="0"/>
        <w:jc w:val="center"/>
      </w:pPr>
      <w:r>
        <w:drawing>
          <wp:inline xmlns:a="http://schemas.openxmlformats.org/drawingml/2006/main" xmlns:pic="http://schemas.openxmlformats.org/drawingml/2006/picture">
            <wp:extent cx="3063240" cy="2286000"/>
            <wp:docPr id="2" name="Picture 2"/>
            <wp:cNvGraphicFramePr>
              <a:graphicFrameLocks noChangeAspect="1"/>
            </wp:cNvGraphicFramePr>
            <a:graphic>
              <a:graphicData uri="http://schemas.openxmlformats.org/drawingml/2006/picture">
                <pic:pic>
                  <pic:nvPicPr>
                    <pic:cNvPr id="0" name="fig3_persistence_scatter.png"/>
                    <pic:cNvPicPr/>
                  </pic:nvPicPr>
                  <pic:blipFill>
                    <a:blip r:embed="rId30"/>
                    <a:stretch>
                      <a:fillRect/>
                    </a:stretch>
                  </pic:blipFill>
                  <pic:spPr>
                    <a:xfrm>
                      <a:off x="0" y="0"/>
                      <a:ext cx="3063240" cy="2286000"/>
                    </a:xfrm>
                    <a:prstGeom prst="rect"/>
                  </pic:spPr>
                </pic:pic>
              </a:graphicData>
            </a:graphic>
          </wp:inline>
        </w:drawing>
      </w:r>
    </w:p>
    <w:p>
      <w:pPr>
        <w:spacing w:before="20" w:after="80" w:line="245" w:lineRule="auto"/>
        <w:ind w:firstLine="0"/>
        <w:jc w:val="both"/>
      </w:pPr>
      <w:r>
        <w:rPr>
          <w:rFonts w:ascii="Times New Roman" w:hAnsi="Times New Roman"/>
          <w:b/>
          <w:i w:val="0"/>
          <w:sz w:val="17"/>
          <w:rFonts w:ascii="Times New Roman" w:hAnsi="Times New Roman" w:cs="Times New Roman"/>
        </w:rPr>
        <w:t xml:space="preserve">Fig. 2. </w:t>
      </w:r>
      <w:r>
        <w:rPr>
          <w:rFonts w:ascii="Times New Roman" w:hAnsi="Times New Roman"/>
          <w:b w:val="0"/>
          <w:i/>
          <w:sz w:val="17"/>
          <w:rFonts w:ascii="Times New Roman" w:hAnsi="Times New Roman" w:cs="Times New Roman"/>
        </w:rPr>
        <w:t>Bivariate empirical relationship between origin-season Performance Index (PI_t) and destination-season Performance Index (PI_{t+1}) across n = 143 adjacent outfield player-season transitions in Design A (FC Barcelona longitudinal panel, 2004/05–2020/21, &gt;= 450 outfield minutes). Tactical cohorts are demarcated by markers (squares for defenders, circles for midfielders, triangles for forwards). The dashed line represents the identity reference (y = x). The solid line depicts fitted calibrated linear persistence (y_hat = 0.038 + 0.800x), exhibiting moderate mean reversion toward cohort averages (beta_1 = 0.80) while preserving high longitudinal stability.</w:t>
      </w:r>
    </w:p>
    <w:p>
      <w:pPr>
        <w:sectPr>
          <w:headerReference w:type="default" r:id="rId28"/>
          <w:footerReference w:type="default" r:id="rId29"/>
          <w:type w:val="continuous"/>
          <w:pgSz w:w="12240" w:h="15840"/>
          <w:pgMar w:top="1080" w:right="900" w:bottom="1080" w:left="900" w:header="720" w:footer="720" w:gutter="0"/>
          <w:docGrid w:linePitch="360"/>
          <w:cols w:num="2" w:space="360"/>
        </w:sectPr>
      </w:pPr>
    </w:p>
    <w:p>
      <w:pPr>
        <w:spacing w:before="100" w:after="16"/>
        <w:ind w:firstLine="0"/>
        <w:jc w:val="center"/>
      </w:pPr>
      <w:r>
        <w:rPr>
          <w:rFonts w:ascii="Times New Roman" w:hAnsi="Times New Roman"/>
          <w:b/>
          <w:i w:val="0"/>
          <w:sz w:val="17"/>
          <w:rFonts w:ascii="Times New Roman" w:hAnsi="Times New Roman" w:cs="Times New Roman"/>
        </w:rPr>
        <w:t>TABLE IV</w:t>
      </w:r>
    </w:p>
    <w:p>
      <w:pPr>
        <w:spacing w:after="40"/>
        <w:ind w:firstLine="0"/>
        <w:jc w:val="center"/>
      </w:pPr>
      <w:r>
        <w:rPr>
          <w:rFonts w:ascii="Times New Roman" w:hAnsi="Times New Roman"/>
          <w:b/>
          <w:i w:val="0"/>
          <w:sz w:val="16"/>
          <w:rFonts w:ascii="Times New Roman" w:hAnsi="Times New Roman" w:cs="Times New Roman"/>
        </w:rPr>
        <w:t>CONSTITUENT PERFORMANCE INDEX COMPONENTS AND OPTIMIZATION SIGNS BY POSITION GROUP (|M_G| = 6 PER GROUP). ALL EVENT COUNTS ARE NORMALIZED TO PER-90 RATES, WITH PASS COMPLETION EVALUATED AS A PERCENTAGE. GOALKEEPERS OMITTED.</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D1D5DB"/>
          <w:insideV w:val="none"/>
          <w:left w:val="none"/>
          <w:right w:val="none"/>
        </w:tblBorders>
      </w:tblPr>
      <w:tblGrid>
        <w:gridCol w:w="3480"/>
        <w:gridCol w:w="3480"/>
        <w:gridCol w:w="3480"/>
      </w:tblGrid>
      <w:tr>
        <w:tc>
          <w:tcPr>
            <w:tcW w:type="dxa" w:w="2160"/>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Tactical Role (g)</w:t>
            </w:r>
          </w:p>
        </w:tc>
        <w:tc>
          <w:tcPr>
            <w:tcW w:type="dxa" w:w="5760"/>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Constituent Per-90 Rate Metrics (M_g)</w:t>
            </w:r>
          </w:p>
        </w:tc>
        <w:tc>
          <w:tcPr>
            <w:tcW w:type="dxa" w:w="2448"/>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Optimization Signs (s_m)</w:t>
            </w:r>
          </w:p>
        </w:tc>
      </w:tr>
      <w:tr>
        <w:tc>
          <w:tcPr>
            <w:tcW w:type="dxa" w:w="2160"/>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Defenders (DEF)</w:t>
            </w:r>
          </w:p>
        </w:tc>
        <w:tc>
          <w:tcPr>
            <w:tcW w:type="dxa" w:w="5760"/>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Defensive Actions, Progressive Passes, Progressive Carries, Pass Completion %, Dribbled Past (neg), Aerial Duels Lost (neg)</w:t>
            </w:r>
          </w:p>
        </w:tc>
        <w:tc>
          <w:tcPr>
            <w:tcW w:type="dxa" w:w="2448"/>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+1 (defending, passing, carrying), -1 (dribbled past, aerials lost)</w:t>
            </w:r>
          </w:p>
        </w:tc>
      </w:tr>
      <w:tr>
        <w:tc>
          <w:tcPr>
            <w:tcW w:type="dxa" w:w="2160"/>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Midfielders (MID)</w:t>
            </w:r>
          </w:p>
        </w:tc>
        <w:tc>
          <w:tcPr>
            <w:tcW w:type="dxa" w:w="5760"/>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Expected Assists (xA), Key Passes, Progressive Passes, Progressive Carries, Passes into Penalty Box, Midfield Defensive Actions</w:t>
            </w:r>
          </w:p>
        </w:tc>
        <w:tc>
          <w:tcPr>
            <w:tcW w:type="dxa" w:w="2448"/>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+1 (creation, progression, box delivery, ball-winning)</w:t>
            </w:r>
          </w:p>
        </w:tc>
      </w:tr>
      <w:tr>
        <w:tc>
          <w:tcPr>
            <w:tcW w:type="dxa" w:w="2160"/>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Forwards (FWD)</w:t>
            </w:r>
          </w:p>
        </w:tc>
        <w:tc>
          <w:tcPr>
            <w:tcW w:type="dxa" w:w="5760"/>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Non-Penalty xG (npxG), Expected Assists (xA), Non-Penalty Goals, Key Passes, Dribbles Completed, Progressive Carries</w:t>
            </w:r>
          </w:p>
        </w:tc>
        <w:tc>
          <w:tcPr>
            <w:tcW w:type="dxa" w:w="2448"/>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+1 (box threat, goal-scoring, chance creation, ball-carrying)</w:t>
            </w:r>
          </w:p>
        </w:tc>
      </w:tr>
    </w:tbl>
    <w:p>
      <w:pPr>
        <w:sectPr>
          <w:headerReference w:type="default" r:id="rId31"/>
          <w:footerReference w:type="default" r:id="rId32"/>
          <w:type w:val="continuous"/>
          <w:pgSz w:w="12240" w:h="15840"/>
          <w:pgMar w:top="1080" w:right="900" w:bottom="1080" w:left="900" w:header="720" w:footer="720" w:gutter="0"/>
          <w:docGrid w:linePitch="360"/>
          <w:cols w:num="1" w:space="360"/>
        </w:sectPr>
      </w:pPr>
    </w:p>
    <w:p>
      <w:pPr>
        <w:spacing w:before="100" w:after="30"/>
        <w:ind w:firstLine="0"/>
        <w:jc w:val="left"/>
      </w:pPr>
      <w:r>
        <w:rPr>
          <w:rFonts w:ascii="Times New Roman" w:hAnsi="Times New Roman"/>
          <w:b/>
          <w:i/>
          <w:sz w:val="20"/>
          <w:rFonts w:ascii="Times New Roman" w:hAnsi="Times New Roman" w:cs="Times New Roman"/>
        </w:rPr>
        <w:t>C. Empirical Split-Half Reliability and Measurement Noise Decomposition</w:t>
      </w:r>
    </w:p>
    <w:p>
      <w:pPr>
        <w:spacing w:after="40" w:line="245" w:lineRule="auto"/>
        <w:ind w:firstLine="216"/>
        <w:jc w:val="both"/>
      </w:pPr>
      <w:r>
        <w:rPr>
          <w:rFonts w:ascii="Times New Roman" w:hAnsi="Times New Roman"/>
          <w:b w:val="0"/>
          <w:i w:val="0"/>
          <w:sz w:val="20"/>
          <w:rFonts w:ascii="Times New Roman" w:hAnsi="Times New Roman" w:cs="Times New Roman"/>
        </w:rPr>
        <w:t>To evaluate whether the Performance Index reflects a stable athletic construct rather than idiosyncratic match stochasticity, we conducted an odd-even matchweek split-half reliability analysis across n = 265 player-seasons in Design A. The uncorrected split-half Pearson correlation was r = 0.683 [95% CI: 0.61, 0.74], yielding a Spearman-Brown stepped-up reliability coefficient of r_xx = 0.811 [95% CI: 0.77, 0.85] (with sample standard deviation SD_PI = 0.586). Under Classical Test Theory (CTT; Lord &amp; Novick [12]), the standard error of measurement (SEM) is SEM = SD_PI * sqrt(1 - r_xx) = 0.254. Consequently, the implied standard deviation of pure measurement noise for a year-over-year change score (Delta = PI_{t+1} - PI_t) is sigma_noise = sqrt(2) * SEM = 0.360. In our empirical panel, the observed standard deviation of realized year-over-year change is sigma_Delta = 0.350. Because measurement noise variance (0.360^2 = 0.130) equals or slightly exceeds the observed change variance (0.350^2 = 0.123), the point estimate of true signal variance is negative, reflecting finite-sample estimation error in variance components (truncated to an estimated signal share of approximately 0.0; Fig. 3a). Across the longitudinal transition panel (n = 143 adjacent pairs across 45 unique players), headline inter-temporal Pearson stability is r_xy = 0.837 [95% cluster-bootstrap CI: 0.70, 0.90]. We note an important theoretical boundary: observed stability r_xy = 0.837 slightly exceeds within-season split-half reliability r_xx = 0.811. A leading hypothesis consistent with this empirical inversion is survivor conditioning: requiring athletes to achieve &gt;= 450 minutes across consecutive seasons systematically retains core established starters with entrenched tactical assignments, which inflates longitudinal stability relative to within-season match-to-match variance. Substituting these empirical parameters into Lord &amp; Novick's difference score formula yields r_ΔΔ ≈ 0 (point estimates −0.16 at r_xy = 0.837 [truncated to 0.0] and +0.05 at pooled r_xy = 0.801, where 0.801 represents the pooled pairwise correlation across non-adjacent historical season pairs; 95% bootstrap CI [−0.36, +0.05] spanning zero). With a standard error of approximately 0.10, this difference reliability is statistically indistinguishable from zero across both specifications, confirming that single-season change scores are dominated by measurement noise (Fig. 3b).</w:t>
      </w:r>
    </w:p>
    <w:p>
      <w:pPr>
        <w:sectPr>
          <w:headerReference w:type="default" r:id="rId33"/>
          <w:footerReference w:type="default" r:id="rId34"/>
          <w:type w:val="continuous"/>
          <w:pgSz w:w="12240" w:h="15840"/>
          <w:pgMar w:top="1080" w:right="900" w:bottom="1080" w:left="900" w:header="720" w:footer="720" w:gutter="0"/>
          <w:docGrid w:linePitch="360"/>
          <w:cols w:num="2" w:space="360"/>
        </w:sectPr>
      </w:pPr>
    </w:p>
    <w:p>
      <w:pPr>
        <w:spacing w:before="80" w:after="20"/>
        <w:ind w:firstLine="0"/>
        <w:jc w:val="center"/>
      </w:pPr>
      <w:r>
        <w:drawing>
          <wp:inline xmlns:a="http://schemas.openxmlformats.org/drawingml/2006/main" xmlns:pic="http://schemas.openxmlformats.org/drawingml/2006/picture">
            <wp:extent cx="6400800" cy="2468880"/>
            <wp:docPr id="3" name="Picture 3"/>
            <wp:cNvGraphicFramePr>
              <a:graphicFrameLocks noChangeAspect="1"/>
            </wp:cNvGraphicFramePr>
            <a:graphic>
              <a:graphicData uri="http://schemas.openxmlformats.org/drawingml/2006/picture">
                <pic:pic>
                  <pic:nvPicPr>
                    <pic:cNvPr id="0" name="fig7_ctt_noise.png"/>
                    <pic:cNvPicPr/>
                  </pic:nvPicPr>
                  <pic:blipFill>
                    <a:blip r:embed="rId37"/>
                    <a:stretch>
                      <a:fillRect/>
                    </a:stretch>
                  </pic:blipFill>
                  <pic:spPr>
                    <a:xfrm>
                      <a:off x="0" y="0"/>
                      <a:ext cx="6400800" cy="2468880"/>
                    </a:xfrm>
                    <a:prstGeom prst="rect"/>
                  </pic:spPr>
                </pic:pic>
              </a:graphicData>
            </a:graphic>
          </wp:inline>
        </w:drawing>
      </w:r>
    </w:p>
    <w:p>
      <w:pPr>
        <w:spacing w:before="20" w:after="80" w:line="245" w:lineRule="auto"/>
        <w:ind w:firstLine="0"/>
        <w:jc w:val="both"/>
      </w:pPr>
      <w:r>
        <w:rPr>
          <w:rFonts w:ascii="Times New Roman" w:hAnsi="Times New Roman"/>
          <w:b/>
          <w:i w:val="0"/>
          <w:sz w:val="17"/>
          <w:rFonts w:ascii="Times New Roman" w:hAnsi="Times New Roman" w:cs="Times New Roman"/>
        </w:rPr>
        <w:t xml:space="preserve">Fig. 3. </w:t>
      </w:r>
      <w:r>
        <w:rPr>
          <w:rFonts w:ascii="Times New Roman" w:hAnsi="Times New Roman"/>
          <w:b w:val="0"/>
          <w:i/>
          <w:sz w:val="17"/>
          <w:rFonts w:ascii="Times New Roman" w:hAnsi="Times New Roman" w:cs="Times New Roman"/>
        </w:rPr>
        <w:t>Classical Test Theory (CTT) variance decomposition and year-over-year difference score reliability analysis. (a) Empirical variance ceiling comparing observed annual change variance (σ_obs^2 = 0.123) against implied measurement error noise variance (σ_noise^2 = 0.130). Finite-sample variance estimation yields a negative point estimate for true developmental signal variance (truncated to 0.0). (b) Theoretical and empirical difference score reliability r_ΔΔ as a function of the reliability gap (r_xx - r_xy) under the Lord &amp; Novick [12] formulation at observed inter-temporal stability r_xy = 0.837. Under the hypothesis that survivor conditioning on regular starters (&gt;= 450 minutes in consecutive seasons) inflates longitudinal stability relative to within-season variance, the empirical point estimate r_ΔΔ ≈ −0.16 (truncated to 0.0; circle) with 95% bootstrap confidence interval [−0.36, +0.05] spans zero, consistent with observed annual performance differences being dominated by stochastic measurement error.</w:t>
      </w:r>
    </w:p>
    <w:p>
      <w:pPr>
        <w:sectPr>
          <w:headerReference w:type="default" r:id="rId35"/>
          <w:footerReference w:type="default" r:id="rId36"/>
          <w:type w:val="continuous"/>
          <w:pgSz w:w="12240" w:h="15840"/>
          <w:pgMar w:top="1080" w:right="900" w:bottom="1080" w:left="900" w:header="720" w:footer="720" w:gutter="0"/>
          <w:docGrid w:linePitch="360"/>
          <w:cols w:num="1" w:space="360"/>
        </w:sectPr>
      </w:pPr>
    </w:p>
    <w:p>
      <w:pPr>
        <w:spacing w:before="100" w:after="30"/>
        <w:ind w:firstLine="0"/>
        <w:jc w:val="left"/>
      </w:pPr>
      <w:r>
        <w:rPr>
          <w:rFonts w:ascii="Times New Roman" w:hAnsi="Times New Roman"/>
          <w:b/>
          <w:i/>
          <w:sz w:val="20"/>
          <w:rFonts w:ascii="Times New Roman" w:hAnsi="Times New Roman" w:cs="Times New Roman"/>
        </w:rPr>
        <w:t>D. Target Independence, External Validity Checks, and Positional Construct Boundaries</w:t>
      </w:r>
    </w:p>
    <w:p>
      <w:pPr>
        <w:spacing w:after="40" w:line="245" w:lineRule="auto"/>
        <w:ind w:firstLine="216"/>
        <w:jc w:val="both"/>
      </w:pPr>
      <w:r>
        <w:rPr>
          <w:rFonts w:ascii="Times New Roman" w:hAnsi="Times New Roman"/>
          <w:b w:val="0"/>
          <w:i w:val="0"/>
          <w:sz w:val="20"/>
          <w:rFonts w:ascii="Times New Roman" w:hAnsi="Times New Roman" w:cs="Times New Roman"/>
        </w:rPr>
        <w:t>A critical property of PI is its weak statistical dependence from legacy MCDA rankers. Across all eligible player-seasons, the empirical Spearman rank correlation between PI and legacy MCDA scores is strictly bounded (|ρ_s| &lt; 0.30; specifically ρ_s(PI, WSM) = 0.284, ρ_s(PI, TOPSIS) = 0.241, ρ_s(PI, VIKOR) = 0.198). External validity audits against independent behavioral and economic outcomes reveal marked positional divergence. For forwards, prospective PI correlates strongly with subsequent managerial selection (subsequent minutes played ρ = +0.727 [95% CI: +0.56, +0.81], n = 35) and Transfermarkt market valuation (ρ = +0.787 [95% CI: +0.63, +0.88], n = 41). However, for defenders and midfielders, external associations exhibit weak or no detectable relationship: for defenders, subsequent minutes ρ = +0.080 [−0.19, +0.34] (n = 63) and valuation ρ = +0.077 [−0.17, +0.31] (n = 68); for midfielders, minutes ρ = −0.014 [−0.32, +0.30] (n = 45) and valuation ρ = +0.080 [−0.20, +0.34] (n = 53), with all 95% confidence intervals comfortably spanning zero across minutes, matches share, and squad availability. The pooled correlations across all outfield players (minutes ρ = +0.307 [+0.14, +0.45], n = 143; valuation ρ = +0.406 [+0.27, +0.53], n = 162) are thus driven primarily by the forward cohort. We emphasize that because repeated season transitions are drawn from the same underlying athletes (e.g., the 35 forward transitions originate from 13 unique players, with Messi accounting for 11 of the 35; and 41 valuation pairs originating from 14 players), confidence intervals in the audit are clustered by player; furthermore, across the 20 correlation intervals in Supplementary Table S-V, confidence intervals are presented uncorrected for multiple comparisons, reflecting the exploratory nature of this post hoc audit. Prospective playing time is inherently noisy and influenced by squad rotation, injuries, and managerial preference. Furthermore, for forwards, while PI tracks selection and market valuation, it exhibits negligible correlation with prospective team on-pitch net goal differential (ρ = +0.105 [−0.25, +0.45], p = 0.55), indicating that these external targets partly reflect reputation and role continuity rather than isolated team sporting efficacy. One hypothesis for the lack of association among defenders and midfielders is that elite defensive performance depends heavily on off-the-ball positioning, shape, and space denial that discrete on-the-ball events do not capture. Importantly, this limitation pertains specifically to this unweighted composite PI rather than event telemetry in general; metrics incorporating continuous spatial tracking or specialized defensive models may capture different dynamics. Supplementary Table S-V provides the complete multi-target robustness audit. All legacy MCDA rankers (WSM, TOPSIS, VIKOR) were linearly calibrated to the target scale prior to computing prospective RMSE to ensure scale alignment.</w:t>
      </w:r>
    </w:p>
    <w:p>
      <w:pPr>
        <w:spacing w:before="100" w:after="30"/>
        <w:ind w:firstLine="0"/>
        <w:jc w:val="left"/>
      </w:pPr>
      <w:r>
        <w:rPr>
          <w:rFonts w:ascii="Times New Roman" w:hAnsi="Times New Roman"/>
          <w:b/>
          <w:i/>
          <w:sz w:val="20"/>
          <w:rFonts w:ascii="Times New Roman" w:hAnsi="Times New Roman" w:cs="Times New Roman"/>
        </w:rPr>
        <w:t>E. Leakage-Free Rolling-Origin Temporal Cross-Validation</w:t>
      </w:r>
    </w:p>
    <w:p>
      <w:pPr>
        <w:spacing w:after="40" w:line="245" w:lineRule="auto"/>
        <w:ind w:firstLine="216"/>
        <w:jc w:val="both"/>
      </w:pPr>
      <w:r>
        <w:rPr>
          <w:rFonts w:ascii="Times New Roman" w:hAnsi="Times New Roman"/>
          <w:b/>
          <w:i w:val="0"/>
          <w:sz w:val="20"/>
          <w:rFonts w:ascii="Times New Roman" w:hAnsi="Times New Roman" w:cs="Times New Roman"/>
        </w:rPr>
        <w:t xml:space="preserve">Validation Architecture: </w:t>
      </w:r>
      <w:r>
        <w:rPr>
          <w:rFonts w:ascii="Times New Roman" w:hAnsi="Times New Roman"/>
          <w:b w:val="0"/>
          <w:i w:val="0"/>
          <w:sz w:val="20"/>
          <w:rFonts w:ascii="Times New Roman" w:hAnsi="Times New Roman" w:cs="Times New Roman"/>
        </w:rPr>
        <w:t>To evaluate models in an environment reflecting real-world recruitment operations, we implement a rolling-origin temporal validation protocol [30]. Partitioning occurs across two distinct chronological phases:</w:t>
      </w:r>
    </w:p>
    <w:p>
      <w:pPr>
        <w:spacing w:after="40" w:line="245" w:lineRule="auto"/>
        <w:ind w:firstLine="216"/>
        <w:jc w:val="both"/>
      </w:pPr>
      <w:r>
        <w:rPr>
          <w:rFonts w:ascii="Times New Roman" w:hAnsi="Times New Roman"/>
          <w:b w:val="0"/>
          <w:i w:val="0"/>
          <w:sz w:val="20"/>
          <w:rFonts w:ascii="Times New Roman" w:hAnsi="Times New Roman" w:cs="Times New Roman"/>
        </w:rPr>
        <w:t>1) Development Period (Model Screening and Selection): In Design A, seasons 2004/05 through 2008/09 serve as the initial training anchor, with 2009/10 to 2014/15 evaluated sequentially across 6 temporal folds (n = 81 transitions across 28 unique players) for hyperparameter tuning and model screening. In Design B, Block 2 to Block 3 transitions serve as the development test partition (n = 691 transitions across 687 unique players; target is Block 3 PI predicted from Block 2 features); models are trained on Block 1 to Block 2 transitions (target is Block 2 PI predicted from Block 1 features), with Block 1 rates and minutes serving as lag history.</w:t>
      </w:r>
    </w:p>
    <w:p>
      <w:pPr>
        <w:spacing w:after="40" w:line="245" w:lineRule="auto"/>
        <w:ind w:firstLine="216"/>
        <w:jc w:val="both"/>
      </w:pPr>
      <w:r>
        <w:rPr>
          <w:rFonts w:ascii="Times New Roman" w:hAnsi="Times New Roman"/>
          <w:b w:val="0"/>
          <w:i w:val="0"/>
          <w:sz w:val="20"/>
          <w:rFonts w:ascii="Times New Roman" w:hAnsi="Times New Roman" w:cs="Times New Roman"/>
        </w:rPr>
        <w:t>2) Confirmation Period (Held-Out Final Evaluation): In Design A, seasons 2015/16 through 2019/20 serve as the strictly held-out confirmation window (5 folds, n = 62 transitions across 28 unique players; effective cluster units K = 28). In Design B, Block 3 to Block 4 transitions serve as the held-out confirmation test partition (n = 691 transitions across 691 unique players; target is Block 4 PI predicted from Block 3 features); models are trained on pooled preceding transitions (Block 1 to 2 and Block 2 to 3), with historical lag features accumulated across preceding blocks (Blocks 1 and 2). Across the 805 unique outfield athletes in the 2015/16 multi-league panel, 573 players appear in both partitions across consecutive quarters, reflecting squad continuity among regular starters. The remaining 118 confirmation players are completely unseen in the development training partition. A sensitivity run restricted strictly to these 118 unseen confirmation players yields an RMSE of 0.399 for Random Forest vs. 0.416 for calibrated persistence and 0.477 for raw persistence (a 4.1% error reduction over calibrated persistence and 16.3% over raw persistence; verified in reports/review_figures_verification.log), confirming that performance gains are preserved on completely unseen athlete identities. For primary benchmark models (H1–H6), all architectures, feature definitions, and hyperparameters were frozen prior to evaluating the confirmation period; subsequent positional decompositions were designated as exploratory post hoc audits.</w:t>
      </w:r>
    </w:p>
    <w:tbl>
      <w:tblPr>
        <w:jc w:val="center"/>
        <w:tblLook w:firstColumn="1" w:firstRow="1" w:lastColumn="0" w:lastRow="0" w:noHBand="0" w:noVBand="1" w:val="04A0"/>
        <w:tblW w:type="dxa" w:w="4824"/>
        <w:tblLayout w:type="fixed"/>
        <w:tblBorders>
          <w:top w:val="single" w:sz="8" w:space="0" w:color="000000"/>
          <w:bottom w:val="single" w:sz="8" w:space="0" w:color="000000"/>
          <w:insideH w:val="single" w:sz="4" w:space="0" w:color="000000"/>
          <w:insideV w:val="none"/>
          <w:left w:val="none"/>
          <w:right w:val="none"/>
        </w:tblBorders>
      </w:tblPr>
      <w:tblGrid>
        <w:gridCol w:w="10440"/>
      </w:tblGrid>
      <w:tr>
        <w:tc>
          <w:tcPr>
            <w:tcW w:type="dxa" w:w="4824"/>
            <w:shd w:fill="F8FAFC"/>
            <w:tcMar>
              <w:top w:w="40" w:type="dxa"/>
              <w:bottom w:w="40" w:type="dxa"/>
              <w:left w:w="60" w:type="dxa"/>
              <w:right w:w="60" w:type="dxa"/>
            </w:tcMar>
          </w:tcPr>
          <w:p>
            <w:pPr>
              <w:spacing w:before="40" w:after="40"/>
              <w:ind w:firstLine="0"/>
              <w:jc w:val="left"/>
            </w:pPr>
            <w:r>
              <w:rPr>
                <w:rFonts w:ascii="Times New Roman" w:hAnsi="Times New Roman"/>
                <w:b/>
                <w:i w:val="0"/>
                <w:sz w:val="17"/>
                <w:rFonts w:ascii="Times New Roman" w:hAnsi="Times New Roman" w:cs="Times New Roman"/>
              </w:rPr>
              <w:t>Algorithm 1: Leakage-Free Rolling-Origin Temporal Cross-Validation</w:t>
            </w:r>
          </w:p>
        </w:tc>
      </w:tr>
      <w:tr>
        <w:tc>
          <w:tcPr>
            <w:tcW w:type="dxa" w:w="4824"/>
            <w:shd w:fill="FFFFFF"/>
            <w:tcMar>
              <w:top w:w="40" w:type="dxa"/>
              <w:bottom w:w="40" w:type="dxa"/>
              <w:left w:w="60" w:type="dxa"/>
              <w:right w:w="60" w:type="dxa"/>
            </w:tcMar>
          </w:tcPr>
          <w:p>
            <w:pPr>
              <w:spacing w:before="20" w:after="20" w:line="252" w:lineRule="auto"/>
              <w:ind w:firstLine="0"/>
              <w:jc w:val="left"/>
            </w:pPr>
            <w:r>
              <w:rPr>
                <w:rFonts w:ascii="Times New Roman" w:hAnsi="Times New Roman"/>
                <w:b/>
                <w:i w:val="0"/>
                <w:sz w:val="16"/>
                <w:rFonts w:ascii="Times New Roman" w:hAnsi="Times New Roman" w:cs="Times New Roman"/>
              </w:rPr>
              <w:t xml:space="preserve">Require: </w:t>
            </w:r>
            <w:r>
              <w:rPr>
                <w:rFonts w:ascii="Times New Roman" w:hAnsi="Times New Roman"/>
                <w:b w:val="0"/>
                <w:i/>
                <w:sz w:val="16"/>
                <w:rFonts w:ascii="Times New Roman" w:hAnsi="Times New Roman" w:cs="Times New Roman"/>
              </w:rPr>
              <w:t>Player-seasons sequence D = {D_1, ..., D_T}; Min threshold M_min = 450 mins.</w:t>
            </w:r>
          </w:p>
          <w:p>
            <w:pPr>
              <w:spacing w:before="20" w:after="20" w:line="252" w:lineRule="auto"/>
              <w:ind w:firstLine="0"/>
              <w:jc w:val="left"/>
            </w:pPr>
            <w:r>
              <w:rPr>
                <w:rFonts w:ascii="Times New Roman" w:hAnsi="Times New Roman"/>
                <w:b/>
                <w:i w:val="0"/>
                <w:sz w:val="16"/>
                <w:rFonts w:ascii="Times New Roman" w:hAnsi="Times New Roman" w:cs="Times New Roman"/>
              </w:rPr>
              <w:t xml:space="preserve">Ensure: </w:t>
            </w:r>
            <w:r>
              <w:rPr>
                <w:rFonts w:ascii="Times New Roman" w:hAnsi="Times New Roman"/>
                <w:b w:val="0"/>
                <w:i/>
                <w:sz w:val="16"/>
                <w:rFonts w:ascii="Times New Roman" w:hAnsi="Times New Roman" w:cs="Times New Roman"/>
              </w:rPr>
              <w:t>Held-out forecast residuals {e_{i,t+1}} and bootstrap confidence intervals [31].</w:t>
            </w:r>
          </w:p>
          <w:p>
            <w:pPr>
              <w:spacing w:before="10" w:after="10" w:line="252" w:lineRule="auto"/>
              <w:ind w:left="317" w:hanging="317"/>
              <w:jc w:val="left"/>
            </w:pPr>
            <w:r>
              <w:rPr>
                <w:rFonts w:ascii="Times New Roman" w:hAnsi="Times New Roman"/>
                <w:b w:val="0"/>
                <w:i w:val="0"/>
                <w:sz w:val="16"/>
                <w:rFonts w:ascii="Times New Roman" w:hAnsi="Times New Roman" w:cs="Times New Roman"/>
              </w:rPr>
              <w:t xml:space="preserve"> 1: </w:t>
            </w:r>
            <w:r>
              <w:rPr>
                <w:rFonts w:ascii="Times New Roman" w:hAnsi="Times New Roman"/>
                <w:b/>
                <w:i w:val="0"/>
                <w:sz w:val="16"/>
                <w:rFonts w:ascii="Times New Roman" w:hAnsi="Times New Roman" w:cs="Times New Roman"/>
              </w:rPr>
              <w:t>Partition timeline into Development T_dev and Confirmation T_conf</w:t>
            </w:r>
          </w:p>
          <w:p>
            <w:pPr>
              <w:spacing w:before="10" w:after="10" w:line="252" w:lineRule="auto"/>
              <w:ind w:left="317" w:hanging="317"/>
              <w:jc w:val="left"/>
            </w:pPr>
            <w:r>
              <w:rPr>
                <w:rFonts w:ascii="Times New Roman" w:hAnsi="Times New Roman"/>
                <w:b w:val="0"/>
                <w:i w:val="0"/>
                <w:sz w:val="16"/>
                <w:rFonts w:ascii="Times New Roman" w:hAnsi="Times New Roman" w:cs="Times New Roman"/>
              </w:rPr>
              <w:t xml:space="preserve"> 2: </w:t>
            </w:r>
            <w:r>
              <w:rPr>
                <w:rFonts w:ascii="Times New Roman" w:hAnsi="Times New Roman"/>
                <w:b/>
                <w:i w:val="0"/>
                <w:sz w:val="16"/>
                <w:rFonts w:ascii="Times New Roman" w:hAnsi="Times New Roman" w:cs="Times New Roman"/>
              </w:rPr>
              <w:t>for each evaluation season origin t in T_conf do</w:t>
            </w:r>
          </w:p>
          <w:p>
            <w:pPr>
              <w:spacing w:before="10" w:after="10" w:line="252" w:lineRule="auto"/>
              <w:ind w:left="317" w:hanging="317"/>
              <w:jc w:val="left"/>
            </w:pPr>
            <w:r>
              <w:rPr>
                <w:rFonts w:ascii="Times New Roman" w:hAnsi="Times New Roman"/>
                <w:b w:val="0"/>
                <w:i w:val="0"/>
                <w:sz w:val="16"/>
                <w:rFonts w:ascii="Times New Roman" w:hAnsi="Times New Roman" w:cs="Times New Roman"/>
              </w:rPr>
              <w:t xml:space="preserve"> 3: </w:t>
            </w:r>
            <w:r>
              <w:rPr>
                <w:rFonts w:ascii="Times New Roman" w:hAnsi="Times New Roman"/>
                <w:b w:val="0"/>
                <w:i w:val="0"/>
                <w:sz w:val="16"/>
                <w:rFonts w:ascii="Times New Roman" w:hAnsi="Times New Roman" w:cs="Times New Roman"/>
              </w:rPr>
              <w:t xml:space="preserve">    Training history: D_train &lt;- ∪_{τ ≤ t} D_τ</w:t>
            </w:r>
          </w:p>
          <w:p>
            <w:pPr>
              <w:spacing w:before="10" w:after="10" w:line="252" w:lineRule="auto"/>
              <w:ind w:left="317" w:hanging="317"/>
              <w:jc w:val="left"/>
            </w:pPr>
            <w:r>
              <w:rPr>
                <w:rFonts w:ascii="Times New Roman" w:hAnsi="Times New Roman"/>
                <w:b w:val="0"/>
                <w:i w:val="0"/>
                <w:sz w:val="16"/>
                <w:rFonts w:ascii="Times New Roman" w:hAnsi="Times New Roman" w:cs="Times New Roman"/>
              </w:rPr>
              <w:t xml:space="preserve"> 4: </w:t>
            </w:r>
            <w:r>
              <w:rPr>
                <w:rFonts w:ascii="Times New Roman" w:hAnsi="Times New Roman"/>
                <w:b w:val="0"/>
                <w:i w:val="0"/>
                <w:sz w:val="16"/>
                <w:rFonts w:ascii="Times New Roman" w:hAnsi="Times New Roman" w:cs="Times New Roman"/>
              </w:rPr>
              <w:t xml:space="preserve">    Fit reference parameters: (μ_ref, σ_ref) &lt;- ComputeGroupStats(D_train)</w:t>
            </w:r>
          </w:p>
          <w:p>
            <w:pPr>
              <w:spacing w:before="10" w:after="10" w:line="252" w:lineRule="auto"/>
              <w:ind w:left="317" w:hanging="317"/>
              <w:jc w:val="left"/>
            </w:pPr>
            <w:r>
              <w:rPr>
                <w:rFonts w:ascii="Times New Roman" w:hAnsi="Times New Roman"/>
                <w:b w:val="0"/>
                <w:i w:val="0"/>
                <w:sz w:val="16"/>
                <w:rFonts w:ascii="Times New Roman" w:hAnsi="Times New Roman" w:cs="Times New Roman"/>
              </w:rPr>
              <w:t xml:space="preserve"> 5: </w:t>
            </w:r>
            <w:r>
              <w:rPr>
                <w:rFonts w:ascii="Times New Roman" w:hAnsi="Times New Roman"/>
                <w:b w:val="0"/>
                <w:i w:val="0"/>
                <w:sz w:val="16"/>
                <w:rFonts w:ascii="Times New Roman" w:hAnsi="Times New Roman" w:cs="Times New Roman"/>
              </w:rPr>
              <w:t xml:space="preserve">    Candidate pool C_t &lt;- {i ∈ D_t ∩ D_{t+1} : M_{i,t} ≥ 450 ∧ M_{i,t+1} ≥ 450}</w:t>
            </w:r>
          </w:p>
          <w:p>
            <w:pPr>
              <w:spacing w:before="10" w:after="10" w:line="252" w:lineRule="auto"/>
              <w:ind w:left="317" w:hanging="317"/>
              <w:jc w:val="left"/>
            </w:pPr>
            <w:r>
              <w:rPr>
                <w:rFonts w:ascii="Times New Roman" w:hAnsi="Times New Roman"/>
                <w:b w:val="0"/>
                <w:i w:val="0"/>
                <w:sz w:val="16"/>
                <w:rFonts w:ascii="Times New Roman" w:hAnsi="Times New Roman" w:cs="Times New Roman"/>
              </w:rPr>
              <w:t xml:space="preserve"> 6: </w:t>
            </w:r>
            <w:r>
              <w:rPr>
                <w:rFonts w:ascii="Times New Roman" w:hAnsi="Times New Roman"/>
                <w:b w:val="0"/>
                <w:i w:val="0"/>
                <w:sz w:val="16"/>
                <w:rFonts w:ascii="Times New Roman" w:hAnsi="Times New Roman" w:cs="Times New Roman"/>
              </w:rPr>
              <w:t xml:space="preserve">    Extract features X_{i,t} using strictly history τ ≤ t</w:t>
            </w:r>
          </w:p>
          <w:p>
            <w:pPr>
              <w:spacing w:before="10" w:after="10" w:line="252" w:lineRule="auto"/>
              <w:ind w:left="317" w:hanging="317"/>
              <w:jc w:val="left"/>
            </w:pPr>
            <w:r>
              <w:rPr>
                <w:rFonts w:ascii="Times New Roman" w:hAnsi="Times New Roman"/>
                <w:b w:val="0"/>
                <w:i w:val="0"/>
                <w:sz w:val="16"/>
                <w:rFonts w:ascii="Times New Roman" w:hAnsi="Times New Roman" w:cs="Times New Roman"/>
              </w:rPr>
              <w:t xml:space="preserve"> 7: </w:t>
            </w:r>
            <w:r>
              <w:rPr>
                <w:rFonts w:ascii="Times New Roman" w:hAnsi="Times New Roman"/>
                <w:b w:val="0"/>
                <w:i w:val="0"/>
                <w:sz w:val="16"/>
                <w:rFonts w:ascii="Times New Roman" w:hAnsi="Times New Roman" w:cs="Times New Roman"/>
              </w:rPr>
              <w:t xml:space="preserve">    Extract target y_{i,t+1} = PI(i, t+1; μ_ref, σ_ref)</w:t>
            </w:r>
          </w:p>
          <w:p>
            <w:pPr>
              <w:spacing w:before="10" w:after="10" w:line="252" w:lineRule="auto"/>
              <w:ind w:left="317" w:hanging="317"/>
              <w:jc w:val="left"/>
            </w:pPr>
            <w:r>
              <w:rPr>
                <w:rFonts w:ascii="Times New Roman" w:hAnsi="Times New Roman"/>
                <w:b w:val="0"/>
                <w:i w:val="0"/>
                <w:sz w:val="16"/>
                <w:rFonts w:ascii="Times New Roman" w:hAnsi="Times New Roman" w:cs="Times New Roman"/>
              </w:rPr>
              <w:t xml:space="preserve"> 8: </w:t>
            </w:r>
            <w:r>
              <w:rPr>
                <w:rFonts w:ascii="Times New Roman" w:hAnsi="Times New Roman"/>
                <w:b w:val="0"/>
                <w:i w:val="0"/>
                <w:sz w:val="16"/>
                <w:rFonts w:ascii="Times New Roman" w:hAnsi="Times New Roman" w:cs="Times New Roman"/>
              </w:rPr>
              <w:t xml:space="preserve">    Fit estimators M ∈ {Ridge, ElasticNet, RF, LGBM} on D_train</w:t>
            </w:r>
          </w:p>
          <w:p>
            <w:pPr>
              <w:spacing w:before="10" w:after="10" w:line="252" w:lineRule="auto"/>
              <w:ind w:left="317" w:hanging="317"/>
              <w:jc w:val="left"/>
            </w:pPr>
            <w:r>
              <w:rPr>
                <w:rFonts w:ascii="Times New Roman" w:hAnsi="Times New Roman"/>
                <w:b w:val="0"/>
                <w:i w:val="0"/>
                <w:sz w:val="16"/>
                <w:rFonts w:ascii="Times New Roman" w:hAnsi="Times New Roman" w:cs="Times New Roman"/>
              </w:rPr>
              <w:t xml:space="preserve"> 9: </w:t>
            </w:r>
            <w:r>
              <w:rPr>
                <w:rFonts w:ascii="Times New Roman" w:hAnsi="Times New Roman"/>
                <w:b w:val="0"/>
                <w:i w:val="0"/>
                <w:sz w:val="16"/>
                <w:rFonts w:ascii="Times New Roman" w:hAnsi="Times New Roman" w:cs="Times New Roman"/>
              </w:rPr>
              <w:t xml:space="preserve">    Fit calibrated persistence: y_hat = β_0 + β_1 * PI_{i,t}</w:t>
            </w:r>
          </w:p>
          <w:p>
            <w:pPr>
              <w:spacing w:before="10" w:after="10" w:line="252" w:lineRule="auto"/>
              <w:ind w:left="317" w:hanging="317"/>
              <w:jc w:val="left"/>
            </w:pPr>
            <w:r>
              <w:rPr>
                <w:rFonts w:ascii="Times New Roman" w:hAnsi="Times New Roman"/>
                <w:b w:val="0"/>
                <w:i w:val="0"/>
                <w:sz w:val="16"/>
                <w:rFonts w:ascii="Times New Roman" w:hAnsi="Times New Roman" w:cs="Times New Roman"/>
              </w:rPr>
              <w:t xml:space="preserve">10: </w:t>
            </w:r>
            <w:r>
              <w:rPr>
                <w:rFonts w:ascii="Times New Roman" w:hAnsi="Times New Roman"/>
                <w:b/>
                <w:i w:val="0"/>
                <w:sz w:val="16"/>
                <w:rFonts w:ascii="Times New Roman" w:hAnsi="Times New Roman" w:cs="Times New Roman"/>
              </w:rPr>
              <w:t xml:space="preserve">    Compute out-of-sample residuals: e_{i,t+1} = y_{i,t+1} - y_hat_{i,t+1}</w:t>
            </w:r>
          </w:p>
          <w:p>
            <w:pPr>
              <w:spacing w:before="10" w:after="10" w:line="252" w:lineRule="auto"/>
              <w:ind w:left="317" w:hanging="317"/>
              <w:jc w:val="left"/>
            </w:pPr>
            <w:r>
              <w:rPr>
                <w:rFonts w:ascii="Times New Roman" w:hAnsi="Times New Roman"/>
                <w:b w:val="0"/>
                <w:i w:val="0"/>
                <w:sz w:val="16"/>
                <w:rFonts w:ascii="Times New Roman" w:hAnsi="Times New Roman" w:cs="Times New Roman"/>
              </w:rPr>
              <w:t xml:space="preserve">11: </w:t>
            </w:r>
            <w:r>
              <w:rPr>
                <w:rFonts w:ascii="Times New Roman" w:hAnsi="Times New Roman"/>
                <w:b/>
                <w:i w:val="0"/>
                <w:sz w:val="16"/>
                <w:rFonts w:ascii="Times New Roman" w:hAnsi="Times New Roman" w:cs="Times New Roman"/>
              </w:rPr>
              <w:t>end for</w:t>
            </w:r>
          </w:p>
          <w:p>
            <w:pPr>
              <w:spacing w:before="10" w:after="10" w:line="252" w:lineRule="auto"/>
              <w:ind w:left="317" w:hanging="317"/>
              <w:jc w:val="left"/>
            </w:pPr>
            <w:r>
              <w:rPr>
                <w:rFonts w:ascii="Times New Roman" w:hAnsi="Times New Roman"/>
                <w:b w:val="0"/>
                <w:i w:val="0"/>
                <w:sz w:val="16"/>
                <w:rFonts w:ascii="Times New Roman" w:hAnsi="Times New Roman" w:cs="Times New Roman"/>
              </w:rPr>
              <w:t xml:space="preserve">12: </w:t>
            </w:r>
            <w:r>
              <w:rPr>
                <w:rFonts w:ascii="Times New Roman" w:hAnsi="Times New Roman"/>
                <w:b/>
                <w:i w:val="0"/>
                <w:sz w:val="16"/>
                <w:rFonts w:ascii="Times New Roman" w:hAnsi="Times New Roman" w:cs="Times New Roman"/>
              </w:rPr>
              <w:t>Compute cluster-bootstrapped RMSE, MAE, and Spearman ρ over confirmation pool</w:t>
            </w:r>
          </w:p>
        </w:tc>
      </w:tr>
    </w:tbl>
    <w:p>
      <w:pPr>
        <w:spacing w:before="100" w:after="30"/>
        <w:ind w:firstLine="0"/>
        <w:jc w:val="left"/>
      </w:pPr>
      <w:r>
        <w:rPr>
          <w:rFonts w:ascii="Times New Roman" w:hAnsi="Times New Roman"/>
          <w:b/>
          <w:i/>
          <w:sz w:val="20"/>
          <w:rFonts w:ascii="Times New Roman" w:hAnsi="Times New Roman" w:cs="Times New Roman"/>
        </w:rPr>
        <w:t>F. Estimator Portfolio and Baseline Equivalences</w:t>
      </w:r>
    </w:p>
    <w:p>
      <w:pPr>
        <w:spacing w:after="40" w:line="245" w:lineRule="auto"/>
        <w:ind w:firstLine="216"/>
        <w:jc w:val="both"/>
      </w:pPr>
      <w:r>
        <w:rPr>
          <w:rFonts w:ascii="Times New Roman" w:hAnsi="Times New Roman"/>
          <w:b/>
          <w:i w:val="0"/>
          <w:sz w:val="20"/>
          <w:rFonts w:ascii="Times New Roman" w:hAnsi="Times New Roman" w:cs="Times New Roman"/>
        </w:rPr>
        <w:t xml:space="preserve">Model Portfolio: </w:t>
      </w:r>
      <w:r>
        <w:rPr>
          <w:rFonts w:ascii="Times New Roman" w:hAnsi="Times New Roman"/>
          <w:b w:val="0"/>
          <w:i w:val="0"/>
          <w:sz w:val="20"/>
          <w:rFonts w:ascii="Times New Roman" w:hAnsi="Times New Roman" w:cs="Times New Roman"/>
        </w:rPr>
        <w:t>We evaluate a portfolio of estimators representing linear, ensemble, and gradient-boosted architectures:</w:t>
      </w:r>
    </w:p>
    <w:p>
      <w:pPr>
        <w:spacing w:after="40" w:line="245" w:lineRule="auto"/>
        <w:ind w:firstLine="216"/>
        <w:jc w:val="both"/>
      </w:pPr>
      <w:r>
        <w:rPr>
          <w:rFonts w:ascii="Times New Roman" w:hAnsi="Times New Roman"/>
          <w:b w:val="0"/>
          <w:i w:val="0"/>
          <w:sz w:val="20"/>
          <w:rFonts w:ascii="Times New Roman" w:hAnsi="Times New Roman" w:cs="Times New Roman"/>
        </w:rPr>
        <w:t>1) Calibrated Persistence: A linear autoregressive model fitting y_{t+1} = β_0 + β_1 * PI_t on historical training data. This forms our primary benchmark.</w:t>
      </w:r>
    </w:p>
    <w:p>
      <w:pPr>
        <w:spacing w:after="40" w:line="245" w:lineRule="auto"/>
        <w:ind w:firstLine="216"/>
        <w:jc w:val="both"/>
      </w:pPr>
      <w:r>
        <w:rPr>
          <w:rFonts w:ascii="Times New Roman" w:hAnsi="Times New Roman"/>
          <w:b w:val="0"/>
          <w:i w:val="0"/>
          <w:sz w:val="20"/>
          <w:rFonts w:ascii="Times New Roman" w:hAnsi="Times New Roman" w:cs="Times New Roman"/>
        </w:rPr>
        <w:t>2) Ridge Regression (L2) and Elastic Net [32]: L2 and L1+L2 regularized linear models evaluated across cumulative feature spaces. Note that Ridge trained solely on base PI is mathematically equivalent to L2-regularized linear persistence: as λ → 0, the Ridge estimator converges to the unpenalized OLS slope β_1 = r(PI_t, PI_{t+1}) * (σ_y / σ_x), which reduces exactly to Pearson correlation r under unit-variance standardization (σ_x ≈ σ_y ≈ 1), formalizing persistence as an intrinsic linear baseline. In the Delta formulation, models fit prospective change scores Δ y_hat = β_0 + β_1 * PI_t, projecting y_hat_{t+1} = PI_t + Δ y_hat.</w:t>
      </w:r>
    </w:p>
    <w:p>
      <w:pPr>
        <w:spacing w:after="40" w:line="245" w:lineRule="auto"/>
        <w:ind w:firstLine="216"/>
        <w:jc w:val="both"/>
      </w:pPr>
      <w:r>
        <w:rPr>
          <w:rFonts w:ascii="Times New Roman" w:hAnsi="Times New Roman"/>
          <w:b w:val="0"/>
          <w:i w:val="0"/>
          <w:sz w:val="20"/>
          <w:rFonts w:ascii="Times New Roman" w:hAnsi="Times New Roman" w:cs="Times New Roman"/>
        </w:rPr>
        <w:t>3) Random Forest [33]: Ensemble of 300 randomized decision trees (max depth = 6, min samples leaf = 5) capable of capturing non-linear interactions across rate profiles.</w:t>
      </w:r>
    </w:p>
    <w:p>
      <w:pPr>
        <w:spacing w:after="40" w:line="245" w:lineRule="auto"/>
        <w:ind w:firstLine="216"/>
        <w:jc w:val="both"/>
      </w:pPr>
      <w:r>
        <w:rPr>
          <w:rFonts w:ascii="Times New Roman" w:hAnsi="Times New Roman"/>
          <w:b w:val="0"/>
          <w:i w:val="0"/>
          <w:sz w:val="20"/>
          <w:rFonts w:ascii="Times New Roman" w:hAnsi="Times New Roman" w:cs="Times New Roman"/>
        </w:rPr>
        <w:t>4) LightGBM [34]: Gradient-boosted decision tree architecture with early stopping and L2 leaf regularization.</w:t>
      </w:r>
    </w:p>
    <w:p>
      <w:pPr>
        <w:spacing w:after="40" w:line="245" w:lineRule="auto"/>
        <w:ind w:firstLine="216"/>
        <w:jc w:val="both"/>
      </w:pPr>
      <w:r>
        <w:rPr>
          <w:rFonts w:ascii="Times New Roman" w:hAnsi="Times New Roman"/>
          <w:b w:val="0"/>
          <w:i w:val="0"/>
          <w:sz w:val="20"/>
          <w:rFonts w:ascii="Times New Roman" w:hAnsi="Times New Roman" w:cs="Times New Roman"/>
        </w:rPr>
        <w:t>5) Legacy MCDA Baselines [4], [5]: Weighted Sum Model (WSM), Technique for Order Preference by Similarity to Ideal Solution (TOPSIS), and VIKOR (VlseKriterijumska Optimizacija I Kompromisno Resenje, multi-criteria optimization and compromise solution) [5] computed using official min-max criteria and position weights from recruitment channels.</w:t>
      </w:r>
    </w:p>
    <w:p>
      <w:pPr>
        <w:spacing w:before="100" w:after="30"/>
        <w:ind w:firstLine="0"/>
        <w:jc w:val="left"/>
      </w:pPr>
      <w:r>
        <w:rPr>
          <w:rFonts w:ascii="Times New Roman" w:hAnsi="Times New Roman"/>
          <w:b/>
          <w:i/>
          <w:sz w:val="20"/>
          <w:rFonts w:ascii="Times New Roman" w:hAnsi="Times New Roman" w:cs="Times New Roman"/>
        </w:rPr>
        <w:t>G. Split-Conformal Prediction Calibration for Talent Scouting</w:t>
      </w:r>
    </w:p>
    <w:p>
      <w:pPr>
        <w:spacing w:after="40" w:line="245" w:lineRule="auto"/>
        <w:ind w:firstLine="216"/>
        <w:jc w:val="both"/>
      </w:pPr>
      <w:r>
        <w:rPr>
          <w:rFonts w:ascii="Times New Roman" w:hAnsi="Times New Roman"/>
          <w:b w:val="0"/>
          <w:i w:val="0"/>
          <w:sz w:val="20"/>
          <w:rFonts w:ascii="Times New Roman" w:hAnsi="Times New Roman" w:cs="Times New Roman"/>
        </w:rPr>
        <w:t>In professional recruitment, point predictions are insufficient; scouts require calibrated uncertainty bounds to manage transfer risk. We adapt inductive split-conformal prediction [13], [14] to talent forecasting. Standard distribution-free coverage guarantees formally require that calibration and evaluation non-conformity scores be exchangeable. In observational longitudinal panels, strict exchangeability is violated because repeated measurements from the same athletes (K = 28 unique player clusters across n = 62 confirmation transitions) introduce within-player intra-cluster correlation, and multi-year tactical shifts can induce subtle distributional drift. While residual lag-1 autocorrelation is low (r_resid approx. 0.08), this provides only a heuristic check rather than a proof of exchangeability. Consequently, we treat conformal prediction intervals as approximate empirical uncertainty corridors rather than exact distribution-free certificates, and we evaluate coverage empirically while noting finite-sample resolution limits (1/62 ≈ 1.6% across K = 28 unique clusters in Design A).</w:t>
      </w:r>
    </w:p>
    <w:tbl>
      <w:tblPr>
        <w:jc w:val="center"/>
        <w:tblLook w:firstColumn="1" w:firstRow="1" w:lastColumn="0" w:lastRow="0" w:noHBand="0" w:noVBand="1" w:val="04A0"/>
        <w:tblW w:type="dxa" w:w="4824"/>
        <w:tblLayout w:type="fixed"/>
        <w:tblBorders>
          <w:top w:val="single" w:sz="8" w:space="0" w:color="000000"/>
          <w:bottom w:val="single" w:sz="8" w:space="0" w:color="000000"/>
          <w:insideH w:val="single" w:sz="4" w:space="0" w:color="000000"/>
          <w:insideV w:val="none"/>
          <w:left w:val="none"/>
          <w:right w:val="none"/>
        </w:tblBorders>
      </w:tblPr>
      <w:tblGrid>
        <w:gridCol w:w="10440"/>
      </w:tblGrid>
      <w:tr>
        <w:tc>
          <w:tcPr>
            <w:tcW w:type="dxa" w:w="4824"/>
            <w:shd w:fill="F8FAFC"/>
            <w:tcMar>
              <w:top w:w="40" w:type="dxa"/>
              <w:bottom w:w="40" w:type="dxa"/>
              <w:left w:w="60" w:type="dxa"/>
              <w:right w:w="60" w:type="dxa"/>
            </w:tcMar>
          </w:tcPr>
          <w:p>
            <w:pPr>
              <w:spacing w:before="40" w:after="40"/>
              <w:ind w:firstLine="0"/>
              <w:jc w:val="left"/>
            </w:pPr>
            <w:r>
              <w:rPr>
                <w:rFonts w:ascii="Times New Roman" w:hAnsi="Times New Roman"/>
                <w:b/>
                <w:i w:val="0"/>
                <w:sz w:val="17"/>
                <w:rFonts w:ascii="Times New Roman" w:hAnsi="Times New Roman" w:cs="Times New Roman"/>
              </w:rPr>
              <w:t>Algorithm 2: Split-Conformal Prediction Interval Calibration</w:t>
            </w:r>
          </w:p>
        </w:tc>
      </w:tr>
      <w:tr>
        <w:tc>
          <w:tcPr>
            <w:tcW w:type="dxa" w:w="4824"/>
            <w:shd w:fill="FFFFFF"/>
            <w:tcMar>
              <w:top w:w="40" w:type="dxa"/>
              <w:bottom w:w="40" w:type="dxa"/>
              <w:left w:w="60" w:type="dxa"/>
              <w:right w:w="60" w:type="dxa"/>
            </w:tcMar>
          </w:tcPr>
          <w:p>
            <w:pPr>
              <w:spacing w:before="20" w:after="20" w:line="252" w:lineRule="auto"/>
              <w:ind w:firstLine="0"/>
              <w:jc w:val="left"/>
            </w:pPr>
            <w:r>
              <w:rPr>
                <w:rFonts w:ascii="Times New Roman" w:hAnsi="Times New Roman"/>
                <w:b/>
                <w:i w:val="0"/>
                <w:sz w:val="16"/>
                <w:rFonts w:ascii="Times New Roman" w:hAnsi="Times New Roman" w:cs="Times New Roman"/>
              </w:rPr>
              <w:t xml:space="preserve">Require: </w:t>
            </w:r>
            <w:r>
              <w:rPr>
                <w:rFonts w:ascii="Times New Roman" w:hAnsi="Times New Roman"/>
                <w:b w:val="0"/>
                <w:i/>
                <w:sz w:val="16"/>
                <w:rFonts w:ascii="Times New Roman" w:hAnsi="Times New Roman" w:cs="Times New Roman"/>
              </w:rPr>
              <w:t>Calibration residuals D_cal = {R_i}_{i=1}^{n_cal}; Candidate feature X_new; Coverage 1 - α.</w:t>
            </w:r>
          </w:p>
          <w:p>
            <w:pPr>
              <w:spacing w:before="20" w:after="20" w:line="252" w:lineRule="auto"/>
              <w:ind w:firstLine="0"/>
              <w:jc w:val="left"/>
            </w:pPr>
            <w:r>
              <w:rPr>
                <w:rFonts w:ascii="Times New Roman" w:hAnsi="Times New Roman"/>
                <w:b/>
                <w:i w:val="0"/>
                <w:sz w:val="16"/>
                <w:rFonts w:ascii="Times New Roman" w:hAnsi="Times New Roman" w:cs="Times New Roman"/>
              </w:rPr>
              <w:t xml:space="preserve">Ensure: </w:t>
            </w:r>
            <w:r>
              <w:rPr>
                <w:rFonts w:ascii="Times New Roman" w:hAnsi="Times New Roman"/>
                <w:b w:val="0"/>
                <w:i/>
                <w:sz w:val="16"/>
                <w:rFonts w:ascii="Times New Roman" w:hAnsi="Times New Roman" w:cs="Times New Roman"/>
              </w:rPr>
              <w:t>Conformal prediction interval C_{1-α}(X_new) with empirical coverage P(y_new ∈ C_{1-α}) ≈ 1 - α under exchangeability.</w:t>
            </w:r>
          </w:p>
          <w:p>
            <w:pPr>
              <w:spacing w:before="10" w:after="10" w:line="252" w:lineRule="auto"/>
              <w:ind w:left="317" w:hanging="317"/>
              <w:jc w:val="left"/>
            </w:pPr>
            <w:r>
              <w:rPr>
                <w:rFonts w:ascii="Times New Roman" w:hAnsi="Times New Roman"/>
                <w:b w:val="0"/>
                <w:i w:val="0"/>
                <w:sz w:val="16"/>
                <w:rFonts w:ascii="Times New Roman" w:hAnsi="Times New Roman" w:cs="Times New Roman"/>
              </w:rPr>
              <w:t xml:space="preserve"> 1: </w:t>
            </w:r>
            <w:r>
              <w:rPr>
                <w:rFonts w:ascii="Times New Roman" w:hAnsi="Times New Roman"/>
                <w:b w:val="0"/>
                <w:i w:val="0"/>
                <w:sz w:val="16"/>
                <w:rFonts w:ascii="Times New Roman" w:hAnsi="Times New Roman" w:cs="Times New Roman"/>
              </w:rPr>
              <w:t>Sort conformity scores in ascending order: R_{(1)} ≤ R_{(2)} ≤ ... ≤ R_{(n_cal)}</w:t>
            </w:r>
          </w:p>
          <w:p>
            <w:pPr>
              <w:spacing w:before="10" w:after="10" w:line="252" w:lineRule="auto"/>
              <w:ind w:left="317" w:hanging="317"/>
              <w:jc w:val="left"/>
            </w:pPr>
            <w:r>
              <w:rPr>
                <w:rFonts w:ascii="Times New Roman" w:hAnsi="Times New Roman"/>
                <w:b w:val="0"/>
                <w:i w:val="0"/>
                <w:sz w:val="16"/>
                <w:rFonts w:ascii="Times New Roman" w:hAnsi="Times New Roman" w:cs="Times New Roman"/>
              </w:rPr>
              <w:t xml:space="preserve"> 2: </w:t>
            </w:r>
            <w:r>
              <w:rPr>
                <w:rFonts w:ascii="Times New Roman" w:hAnsi="Times New Roman"/>
                <w:b/>
                <w:i w:val="0"/>
                <w:sz w:val="16"/>
                <w:rFonts w:ascii="Times New Roman" w:hAnsi="Times New Roman" w:cs="Times New Roman"/>
              </w:rPr>
              <w:t>Compute finite-sample quantile index: p = ceil((n_cal + 1)(1 - α)) / n_cal</w:t>
            </w:r>
          </w:p>
          <w:p>
            <w:pPr>
              <w:spacing w:before="10" w:after="10" w:line="252" w:lineRule="auto"/>
              <w:ind w:left="317" w:hanging="317"/>
              <w:jc w:val="left"/>
            </w:pPr>
            <w:r>
              <w:rPr>
                <w:rFonts w:ascii="Times New Roman" w:hAnsi="Times New Roman"/>
                <w:b w:val="0"/>
                <w:i w:val="0"/>
                <w:sz w:val="16"/>
                <w:rFonts w:ascii="Times New Roman" w:hAnsi="Times New Roman" w:cs="Times New Roman"/>
              </w:rPr>
              <w:t xml:space="preserve"> 3: </w:t>
            </w:r>
            <w:r>
              <w:rPr>
                <w:rFonts w:ascii="Times New Roman" w:hAnsi="Times New Roman"/>
                <w:b w:val="0"/>
                <w:i w:val="0"/>
                <w:sz w:val="16"/>
                <w:rFonts w:ascii="Times New Roman" w:hAnsi="Times New Roman" w:cs="Times New Roman"/>
              </w:rPr>
              <w:t>Extract conformal cutoff radius: q_hat = Quantile({R_i}, p)</w:t>
            </w:r>
          </w:p>
          <w:p>
            <w:pPr>
              <w:spacing w:before="10" w:after="10" w:line="252" w:lineRule="auto"/>
              <w:ind w:left="317" w:hanging="317"/>
              <w:jc w:val="left"/>
            </w:pPr>
            <w:r>
              <w:rPr>
                <w:rFonts w:ascii="Times New Roman" w:hAnsi="Times New Roman"/>
                <w:b w:val="0"/>
                <w:i w:val="0"/>
                <w:sz w:val="16"/>
                <w:rFonts w:ascii="Times New Roman" w:hAnsi="Times New Roman" w:cs="Times New Roman"/>
              </w:rPr>
              <w:t xml:space="preserve"> 4: </w:t>
            </w:r>
            <w:r>
              <w:rPr>
                <w:rFonts w:ascii="Times New Roman" w:hAnsi="Times New Roman"/>
                <w:b w:val="0"/>
                <w:i w:val="0"/>
                <w:sz w:val="16"/>
                <w:rFonts w:ascii="Times New Roman" w:hAnsi="Times New Roman" w:cs="Times New Roman"/>
              </w:rPr>
              <w:t>Construct interval: C_{1-α}(X_new) = [f_hat(X_new) - q_hat, f_hat(X_new) + q_hat]</w:t>
            </w:r>
          </w:p>
          <w:p>
            <w:pPr>
              <w:spacing w:before="10" w:after="10" w:line="252" w:lineRule="auto"/>
              <w:ind w:left="317" w:hanging="317"/>
              <w:jc w:val="left"/>
            </w:pPr>
            <w:r>
              <w:rPr>
                <w:rFonts w:ascii="Times New Roman" w:hAnsi="Times New Roman"/>
                <w:b w:val="0"/>
                <w:i w:val="0"/>
                <w:sz w:val="16"/>
                <w:rFonts w:ascii="Times New Roman" w:hAnsi="Times New Roman" w:cs="Times New Roman"/>
              </w:rPr>
              <w:t xml:space="preserve"> 5: </w:t>
            </w:r>
            <w:r>
              <w:rPr>
                <w:rFonts w:ascii="Times New Roman" w:hAnsi="Times New Roman"/>
                <w:b/>
                <w:i w:val="0"/>
                <w:sz w:val="16"/>
                <w:rFonts w:ascii="Times New Roman" w:hAnsi="Times New Roman" w:cs="Times New Roman"/>
              </w:rPr>
              <w:t>return prediction interval C_{1-α}(X_new) with empirically calibrated coverage</w:t>
            </w:r>
          </w:p>
        </w:tc>
      </w:tr>
    </w:tbl>
    <w:p>
      <w:pPr>
        <w:spacing w:before="160" w:after="50"/>
        <w:ind w:firstLine="0"/>
        <w:jc w:val="center"/>
      </w:pPr>
      <w:r>
        <w:rPr>
          <w:rFonts w:ascii="Times New Roman" w:hAnsi="Times New Roman"/>
          <w:b/>
          <w:i w:val="0"/>
          <w:sz w:val="21"/>
          <w:rFonts w:ascii="Times New Roman" w:hAnsi="Times New Roman" w:cs="Times New Roman"/>
        </w:rPr>
        <w:t>V. EMPIRICAL RESULTS</w:t>
      </w:r>
    </w:p>
    <w:p>
      <w:pPr>
        <w:spacing w:before="100" w:after="30"/>
        <w:ind w:firstLine="0"/>
        <w:jc w:val="left"/>
      </w:pPr>
      <w:r>
        <w:rPr>
          <w:rFonts w:ascii="Times New Roman" w:hAnsi="Times New Roman"/>
          <w:b/>
          <w:i/>
          <w:sz w:val="20"/>
          <w:rFonts w:ascii="Times New Roman" w:hAnsi="Times New Roman" w:cs="Times New Roman"/>
        </w:rPr>
        <w:t>A. Design A: Longitudinal Single-Club Panel Benchmark</w:t>
      </w:r>
    </w:p>
    <w:p>
      <w:pPr>
        <w:spacing w:after="40" w:line="245" w:lineRule="auto"/>
        <w:ind w:firstLine="216"/>
        <w:jc w:val="both"/>
      </w:pPr>
      <w:r>
        <w:rPr>
          <w:rFonts w:ascii="Times New Roman" w:hAnsi="Times New Roman"/>
          <w:b w:val="0"/>
          <w:i w:val="0"/>
          <w:sz w:val="20"/>
          <w:rFonts w:ascii="Times New Roman" w:hAnsi="Times New Roman" w:cs="Times New Roman"/>
        </w:rPr>
        <w:t>Table V presents the primary confirmation benchmark results on the 17-season FC Barcelona panel (n = 143 total player-season transitions across 45 unique players). In accordance with our temporal validation protocol, the panel is partitioned into a development period (seasons 2009/10 through 2014/15; 6 folds, n = 81 transitions across 28 players) used exclusively for hyperparameter tuning and model selection, and a held-out confirmation window (seasons 2015/16 through 2019/20; 5 folds, n = 62 transitions across 28 players) reserved for frozen evaluation. Ninety-five percent confidence intervals were generated via 1,000 paired cluster-bootstrap resamples over player entities [31].</w:t>
      </w:r>
    </w:p>
    <w:p>
      <w:pPr>
        <w:sectPr>
          <w:headerReference w:type="default" r:id="rId38"/>
          <w:footerReference w:type="default" r:id="rId39"/>
          <w:type w:val="continuous"/>
          <w:pgSz w:w="12240" w:h="15840"/>
          <w:pgMar w:top="1080" w:right="900" w:bottom="1080" w:left="900" w:header="720" w:footer="720" w:gutter="0"/>
          <w:docGrid w:linePitch="360"/>
          <w:cols w:num="2" w:space="360"/>
        </w:sectPr>
      </w:pPr>
    </w:p>
    <w:p>
      <w:pPr>
        <w:spacing w:before="100" w:after="16"/>
        <w:ind w:firstLine="0"/>
        <w:jc w:val="center"/>
      </w:pPr>
      <w:r>
        <w:rPr>
          <w:rFonts w:ascii="Times New Roman" w:hAnsi="Times New Roman"/>
          <w:b/>
          <w:i w:val="0"/>
          <w:sz w:val="17"/>
          <w:rFonts w:ascii="Times New Roman" w:hAnsi="Times New Roman" w:cs="Times New Roman"/>
        </w:rPr>
        <w:t>TABLE V</w:t>
      </w:r>
    </w:p>
    <w:p>
      <w:pPr>
        <w:spacing w:after="40"/>
        <w:ind w:firstLine="0"/>
        <w:jc w:val="center"/>
      </w:pPr>
      <w:r>
        <w:rPr>
          <w:rFonts w:ascii="Times New Roman" w:hAnsi="Times New Roman"/>
          <w:b/>
          <w:i w:val="0"/>
          <w:sz w:val="16"/>
          <w:rFonts w:ascii="Times New Roman" w:hAnsi="Times New Roman" w:cs="Times New Roman"/>
        </w:rPr>
        <w:t>DESIGN A PRIMARY BENCHMARK RESULTS ON THE LONGITUDINAL FC BARCELONA PANEL (DEV N = 81, CONFIRMATION N = 62; K = 28 CLUSTERS). BOLD DENOTES BEST PERFORMANCE.</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D1D5DB"/>
          <w:insideV w:val="none"/>
          <w:left w:val="none"/>
          <w:right w:val="none"/>
        </w:tblBorders>
      </w:tblPr>
      <w:tblGrid>
        <w:gridCol w:w="2088"/>
        <w:gridCol w:w="2088"/>
        <w:gridCol w:w="2088"/>
        <w:gridCol w:w="2088"/>
        <w:gridCol w:w="2088"/>
      </w:tblGrid>
      <w:tr>
        <w:tc>
          <w:tcPr>
            <w:tcW w:type="dxa" w:w="2160"/>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Model / Estimator</w:t>
            </w:r>
          </w:p>
        </w:tc>
        <w:tc>
          <w:tcPr>
            <w:tcW w:type="dxa" w:w="3024"/>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Feature Space Configuration</w:t>
            </w:r>
          </w:p>
        </w:tc>
        <w:tc>
          <w:tcPr>
            <w:tcW w:type="dxa" w:w="1152"/>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Dev RMSE (n=81)</w:t>
            </w:r>
          </w:p>
        </w:tc>
        <w:tc>
          <w:tcPr>
            <w:tcW w:type="dxa" w:w="2736"/>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Confirmation RMSE [95% Bootstrap CI] (n=62)</w:t>
            </w:r>
          </w:p>
        </w:tc>
        <w:tc>
          <w:tcPr>
            <w:tcW w:type="dxa" w:w="1296"/>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Spearman Rank Correlation (ρ)</w:t>
            </w:r>
          </w:p>
        </w:tc>
      </w:tr>
      <w:tr>
        <w:tc>
          <w:tcPr>
            <w:tcW w:type="dxa" w:w="2160"/>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Calibrated Persistence</w:t>
            </w:r>
          </w:p>
        </w:tc>
        <w:tc>
          <w:tcPr>
            <w:tcW w:type="dxa" w:w="302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Base PI_t (Autoregressive Anchor)</w:t>
            </w:r>
          </w:p>
        </w:tc>
        <w:tc>
          <w:tcPr>
            <w:tcW w:type="dxa" w:w="115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0.330</w:t>
            </w:r>
          </w:p>
        </w:tc>
        <w:tc>
          <w:tcPr>
            <w:tcW w:type="dxa" w:w="2736"/>
            <w:shd w:fill="FFFFFF"/>
            <w:tcMar>
              <w:top w:w="25" w:type="dxa"/>
              <w:bottom w:w="25" w:type="dxa"/>
              <w:left w:w="50" w:type="dxa"/>
              <w:right w:w="50" w:type="dxa"/>
            </w:tcMar>
          </w:tcPr>
          <w:p>
            <w:pPr>
              <w:spacing w:after="0"/>
              <w:jc w:val="center"/>
            </w:pPr>
            <w:r/>
            <w:r>
              <w:rPr>
                <w:rFonts w:ascii="Times New Roman" w:hAnsi="Times New Roman"/>
                <w:b/>
                <w:i w:val="0"/>
                <w:sz w:val="16"/>
                <w:rFonts w:ascii="Times New Roman" w:hAnsi="Times New Roman" w:cs="Times New Roman"/>
              </w:rPr>
              <w:t>0.321 [0.248, 0.408]</w:t>
            </w:r>
          </w:p>
        </w:tc>
        <w:tc>
          <w:tcPr>
            <w:tcW w:type="dxa" w:w="1296"/>
            <w:shd w:fill="FFFFFF"/>
            <w:tcMar>
              <w:top w:w="25" w:type="dxa"/>
              <w:bottom w:w="25" w:type="dxa"/>
              <w:left w:w="50" w:type="dxa"/>
              <w:right w:w="50" w:type="dxa"/>
            </w:tcMar>
          </w:tcPr>
          <w:p>
            <w:pPr>
              <w:spacing w:after="0"/>
              <w:jc w:val="center"/>
            </w:pPr>
            <w:r/>
            <w:r>
              <w:rPr>
                <w:rFonts w:ascii="Times New Roman" w:hAnsi="Times New Roman"/>
                <w:b/>
                <w:i w:val="0"/>
                <w:sz w:val="16"/>
                <w:rFonts w:ascii="Times New Roman" w:hAnsi="Times New Roman" w:cs="Times New Roman"/>
              </w:rPr>
              <w:t>0.842</w:t>
            </w:r>
          </w:p>
        </w:tc>
      </w:tr>
      <w:tr>
        <w:tc>
          <w:tcPr>
            <w:tcW w:type="dxa" w:w="2160"/>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Ridge Regression</w:t>
            </w:r>
          </w:p>
        </w:tc>
        <w:tc>
          <w:tcPr>
            <w:tcW w:type="dxa" w:w="302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Base PI_t (Level Formulation)</w:t>
            </w:r>
          </w:p>
        </w:tc>
        <w:tc>
          <w:tcPr>
            <w:tcW w:type="dxa" w:w="115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0.328</w:t>
            </w:r>
          </w:p>
        </w:tc>
        <w:tc>
          <w:tcPr>
            <w:tcW w:type="dxa" w:w="273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0.324 [0.252, 0.410]</w:t>
            </w:r>
          </w:p>
        </w:tc>
        <w:tc>
          <w:tcPr>
            <w:tcW w:type="dxa" w:w="129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0.781</w:t>
            </w:r>
          </w:p>
        </w:tc>
      </w:tr>
      <w:tr>
        <w:tc>
          <w:tcPr>
            <w:tcW w:type="dxa" w:w="2160"/>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Elastic Net</w:t>
            </w:r>
          </w:p>
        </w:tc>
        <w:tc>
          <w:tcPr>
            <w:tcW w:type="dxa" w:w="302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Base PI_t (Delta Formulation)</w:t>
            </w:r>
          </w:p>
        </w:tc>
        <w:tc>
          <w:tcPr>
            <w:tcW w:type="dxa" w:w="115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0.331</w:t>
            </w:r>
          </w:p>
        </w:tc>
        <w:tc>
          <w:tcPr>
            <w:tcW w:type="dxa" w:w="2736"/>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0.325 [0.248, 0.417]</w:t>
            </w:r>
          </w:p>
        </w:tc>
        <w:tc>
          <w:tcPr>
            <w:tcW w:type="dxa" w:w="1296"/>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0.823</w:t>
            </w:r>
          </w:p>
        </w:tc>
      </w:tr>
      <w:tr>
        <w:tc>
          <w:tcPr>
            <w:tcW w:type="dxa" w:w="2160"/>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Random Forest</w:t>
            </w:r>
          </w:p>
        </w:tc>
        <w:tc>
          <w:tcPr>
            <w:tcW w:type="dxa" w:w="302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Full (PI + Profile + Context + History)</w:t>
            </w:r>
          </w:p>
        </w:tc>
        <w:tc>
          <w:tcPr>
            <w:tcW w:type="dxa" w:w="115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0.342</w:t>
            </w:r>
          </w:p>
        </w:tc>
        <w:tc>
          <w:tcPr>
            <w:tcW w:type="dxa" w:w="273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0.313 [0.253, 0.384]</w:t>
            </w:r>
          </w:p>
        </w:tc>
        <w:tc>
          <w:tcPr>
            <w:tcW w:type="dxa" w:w="129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0.783</w:t>
            </w:r>
          </w:p>
        </w:tc>
      </w:tr>
      <w:tr>
        <w:tc>
          <w:tcPr>
            <w:tcW w:type="dxa" w:w="2160"/>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LightGBM</w:t>
            </w:r>
          </w:p>
        </w:tc>
        <w:tc>
          <w:tcPr>
            <w:tcW w:type="dxa" w:w="302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PI + Rate Profile</w:t>
            </w:r>
          </w:p>
        </w:tc>
        <w:tc>
          <w:tcPr>
            <w:tcW w:type="dxa" w:w="115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0.345</w:t>
            </w:r>
          </w:p>
        </w:tc>
        <w:tc>
          <w:tcPr>
            <w:tcW w:type="dxa" w:w="2736"/>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0.321 [0.240, 0.414]</w:t>
            </w:r>
          </w:p>
        </w:tc>
        <w:tc>
          <w:tcPr>
            <w:tcW w:type="dxa" w:w="1296"/>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0.811</w:t>
            </w:r>
          </w:p>
        </w:tc>
      </w:tr>
      <w:tr>
        <w:tc>
          <w:tcPr>
            <w:tcW w:type="dxa" w:w="2160"/>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Position Cohort Mean</w:t>
            </w:r>
          </w:p>
        </w:tc>
        <w:tc>
          <w:tcPr>
            <w:tcW w:type="dxa" w:w="302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Positional Null Baseline</w:t>
            </w:r>
          </w:p>
        </w:tc>
        <w:tc>
          <w:tcPr>
            <w:tcW w:type="dxa" w:w="115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0.609</w:t>
            </w:r>
          </w:p>
        </w:tc>
        <w:tc>
          <w:tcPr>
            <w:tcW w:type="dxa" w:w="273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0.566 [0.456, 0.686]</w:t>
            </w:r>
          </w:p>
        </w:tc>
        <w:tc>
          <w:tcPr>
            <w:tcW w:type="dxa" w:w="129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0.010</w:t>
            </w:r>
          </w:p>
        </w:tc>
      </w:tr>
      <w:tr>
        <w:tc>
          <w:tcPr>
            <w:tcW w:type="dxa" w:w="2160"/>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Age/Position Ridge</w:t>
            </w:r>
          </w:p>
        </w:tc>
        <w:tc>
          <w:tcPr>
            <w:tcW w:type="dxa" w:w="302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Demographic Baseline</w:t>
            </w:r>
          </w:p>
        </w:tc>
        <w:tc>
          <w:tcPr>
            <w:tcW w:type="dxa" w:w="115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0.627</w:t>
            </w:r>
          </w:p>
        </w:tc>
        <w:tc>
          <w:tcPr>
            <w:tcW w:type="dxa" w:w="2736"/>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0.567 [0.472, 0.667]</w:t>
            </w:r>
          </w:p>
        </w:tc>
        <w:tc>
          <w:tcPr>
            <w:tcW w:type="dxa" w:w="1296"/>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-0.050</w:t>
            </w:r>
          </w:p>
        </w:tc>
      </w:tr>
      <w:tr>
        <w:tc>
          <w:tcPr>
            <w:tcW w:type="dxa" w:w="2160"/>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Legacy WSM</w:t>
            </w:r>
          </w:p>
        </w:tc>
        <w:tc>
          <w:tcPr>
            <w:tcW w:type="dxa" w:w="302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MCDA Weighted Sum Ranker</w:t>
            </w:r>
          </w:p>
        </w:tc>
        <w:tc>
          <w:tcPr>
            <w:tcW w:type="dxa" w:w="115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0.583</w:t>
            </w:r>
          </w:p>
        </w:tc>
        <w:tc>
          <w:tcPr>
            <w:tcW w:type="dxa" w:w="273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0.540 [0.459, 0.624]</w:t>
            </w:r>
          </w:p>
        </w:tc>
        <w:tc>
          <w:tcPr>
            <w:tcW w:type="dxa" w:w="129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0.195</w:t>
            </w:r>
          </w:p>
        </w:tc>
      </w:tr>
      <w:tr>
        <w:tc>
          <w:tcPr>
            <w:tcW w:type="dxa" w:w="2160"/>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Legacy TOPSIS</w:t>
            </w:r>
          </w:p>
        </w:tc>
        <w:tc>
          <w:tcPr>
            <w:tcW w:type="dxa" w:w="302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MCDA Ideal Solution Distance</w:t>
            </w:r>
          </w:p>
        </w:tc>
        <w:tc>
          <w:tcPr>
            <w:tcW w:type="dxa" w:w="115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0.578</w:t>
            </w:r>
          </w:p>
        </w:tc>
        <w:tc>
          <w:tcPr>
            <w:tcW w:type="dxa" w:w="2736"/>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0.543 [0.464, 0.626]</w:t>
            </w:r>
          </w:p>
        </w:tc>
        <w:tc>
          <w:tcPr>
            <w:tcW w:type="dxa" w:w="1296"/>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0.219</w:t>
            </w:r>
          </w:p>
        </w:tc>
      </w:tr>
      <w:tr>
        <w:tc>
          <w:tcPr>
            <w:tcW w:type="dxa" w:w="2160"/>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Legacy VIKOR</w:t>
            </w:r>
          </w:p>
        </w:tc>
        <w:tc>
          <w:tcPr>
            <w:tcW w:type="dxa" w:w="302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MCDA Compromise Solution</w:t>
            </w:r>
          </w:p>
        </w:tc>
        <w:tc>
          <w:tcPr>
            <w:tcW w:type="dxa" w:w="115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0.599</w:t>
            </w:r>
          </w:p>
        </w:tc>
        <w:tc>
          <w:tcPr>
            <w:tcW w:type="dxa" w:w="273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0.543 [0.458, 0.635]</w:t>
            </w:r>
          </w:p>
        </w:tc>
        <w:tc>
          <w:tcPr>
            <w:tcW w:type="dxa" w:w="129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0.222</w:t>
            </w:r>
          </w:p>
        </w:tc>
      </w:tr>
    </w:tbl>
    <w:p>
      <w:pPr>
        <w:sectPr>
          <w:headerReference w:type="default" r:id="rId40"/>
          <w:footerReference w:type="default" r:id="rId41"/>
          <w:type w:val="continuous"/>
          <w:pgSz w:w="12240" w:h="15840"/>
          <w:pgMar w:top="1080" w:right="900" w:bottom="1080" w:left="900" w:header="720" w:footer="720" w:gutter="0"/>
          <w:docGrid w:linePitch="360"/>
          <w:cols w:num="1" w:space="360"/>
        </w:sectPr>
      </w:pPr>
    </w:p>
    <w:p>
      <w:pPr>
        <w:spacing w:after="40" w:line="245" w:lineRule="auto"/>
        <w:ind w:firstLine="216"/>
        <w:jc w:val="both"/>
      </w:pPr>
      <w:r>
        <w:rPr>
          <w:rFonts w:ascii="Times New Roman" w:hAnsi="Times New Roman"/>
          <w:b w:val="0"/>
          <w:i w:val="0"/>
          <w:sz w:val="20"/>
          <w:rFonts w:ascii="Times New Roman" w:hAnsi="Times New Roman" w:cs="Times New Roman"/>
        </w:rPr>
        <w:t>Empirical Verdict and Equivalence Testing for Hypothesis H1: Across the confirmation window (n = 62 transitions across K = 28 unique players), no supervised architecture demonstrates a statistically significant improvement over calibrated persistence (Fig. 4a). The paired difference between Random Forest and Persistence is −0.008 with a 95% cluster-bootstrap confidence interval [−0.043, +0.027], which comfortably spans zero. For Ridge regression, the paired difference is +0.003 [−0.001, +0.006]; for Elastic Net, +0.004 [−0.005, +0.014]; and for LightGBM, 0.000 [−0.017, +0.014]. Note that for Ridge regression fit on base PI across rolling folds, fold-varying refitted intercepts and shrinkage factors induce slight rank variations across the pooled confirmation panel (ρ = 0.781); under a single fixed linear transform, rank order is strictly invariant (ρ = 0.842, identical to persistence). For Elastic Net, the Delta formulation directly fits prospective change scores Δ y_hat = β_0 + β_1 * PI_t. We emphasize that an interval spanning zero indicates absence of evidence for machine learning superiority, not positive proof of equivalence. To investigate equivalence, we conducted Two One-Sided Tests (TOST) accounting for player clustering (K = 28 independent clusters). Under a pragmatic equivalence margin of Δ_equiv = ±0.05 RMSE (~15% of baseline error), the 90% confidence interval for Random Forest [−0.037, +0.021] falls strictly within [−0.05, +0.05], satisfying equivalence at α = 0.05. Ridge ([−0.001, +0.005]), Elastic Net ([−0.004, +0.012]), and LightGBM ([−0.014, +0.012]) likewise establish equivalence under this margin. Furthermore, under a narrower margin of Δ_equiv = ±0.025, Ridge, Elastic Net, and LightGBM all satisfy equivalence; only Random Forest cannot rule out smaller differences due to finite sample size (n = 62 across K = 28 clusters, 90% CI [−0.037, +0.021]). Crucially, legacy MCDA models [4], [5] exhibit substantially higher prospective prediction error (RMSE = 0.540–0.543 vs. 0.321 for persistence), confirming Hypothesis H5.</w:t>
      </w:r>
    </w:p>
    <w:p>
      <w:pPr>
        <w:sectPr>
          <w:headerReference w:type="default" r:id="rId42"/>
          <w:footerReference w:type="default" r:id="rId43"/>
          <w:type w:val="continuous"/>
          <w:pgSz w:w="12240" w:h="15840"/>
          <w:pgMar w:top="1080" w:right="900" w:bottom="1080" w:left="900" w:header="720" w:footer="720" w:gutter="0"/>
          <w:docGrid w:linePitch="360"/>
          <w:cols w:num="2" w:space="360"/>
        </w:sectPr>
      </w:pPr>
    </w:p>
    <w:p>
      <w:pPr>
        <w:spacing w:before="80" w:after="20"/>
        <w:ind w:firstLine="0"/>
        <w:jc w:val="center"/>
      </w:pPr>
      <w:r>
        <w:drawing>
          <wp:inline xmlns:a="http://schemas.openxmlformats.org/drawingml/2006/main" xmlns:pic="http://schemas.openxmlformats.org/drawingml/2006/picture">
            <wp:extent cx="6400800" cy="2560320"/>
            <wp:docPr id="4" name="Picture 4"/>
            <wp:cNvGraphicFramePr>
              <a:graphicFrameLocks noChangeAspect="1"/>
            </wp:cNvGraphicFramePr>
            <a:graphic>
              <a:graphicData uri="http://schemas.openxmlformats.org/drawingml/2006/picture">
                <pic:pic>
                  <pic:nvPicPr>
                    <pic:cNvPr id="0" name="fig2_forest_plot.png"/>
                    <pic:cNvPicPr/>
                  </pic:nvPicPr>
                  <pic:blipFill>
                    <a:blip r:embed="rId46"/>
                    <a:stretch>
                      <a:fillRect/>
                    </a:stretch>
                  </pic:blipFill>
                  <pic:spPr>
                    <a:xfrm>
                      <a:off x="0" y="0"/>
                      <a:ext cx="6400800" cy="2560320"/>
                    </a:xfrm>
                    <a:prstGeom prst="rect"/>
                  </pic:spPr>
                </pic:pic>
              </a:graphicData>
            </a:graphic>
          </wp:inline>
        </w:drawing>
      </w:r>
    </w:p>
    <w:p>
      <w:pPr>
        <w:spacing w:before="20" w:after="80" w:line="245" w:lineRule="auto"/>
        <w:ind w:firstLine="0"/>
        <w:jc w:val="both"/>
      </w:pPr>
      <w:r>
        <w:rPr>
          <w:rFonts w:ascii="Times New Roman" w:hAnsi="Times New Roman"/>
          <w:b/>
          <w:i w:val="0"/>
          <w:sz w:val="17"/>
          <w:rFonts w:ascii="Times New Roman" w:hAnsi="Times New Roman" w:cs="Times New Roman"/>
        </w:rPr>
        <w:t xml:space="preserve">Fig. 4. </w:t>
      </w:r>
      <w:r>
        <w:rPr>
          <w:rFonts w:ascii="Times New Roman" w:hAnsi="Times New Roman"/>
          <w:b w:val="0"/>
          <w:i/>
          <w:sz w:val="17"/>
          <w:rFonts w:ascii="Times New Roman" w:hAnsi="Times New Roman" w:cs="Times New Roman"/>
        </w:rPr>
        <w:t>Forest plot of paired RMSE differences relative to calibrated persistence with 95% cluster-bootstrap confidence intervals across both empirical regimes. Negative values denote superior forecasting accuracy relative to persistence. (a) Design A held-out confirmation window (n = 62 transitions across K = 28 unique players; annual horizon), demonstrating that complex machine learning architectures fail to achieve statistically significant gains and fall within the pragmatic ±0.05 TOST equivalence margin (legacy MCDA is represented by WSM [4], with TOPSIS and VIKOR exhibiting near-identical performance as reported in Table V). (b) Design B multi-league confirmation partition (n = 691 block transitions across 691 unique players; 9-matchweek horizon; drawn from the pooled four-league cohort of 805 unique players), demonstrating statistically significant error reductions relative to single-period persistence that are predominantly captured by multi-period moving averages (72% of gain) and regularized linear Ridge regression (89% of gain).</w:t>
      </w:r>
    </w:p>
    <w:p>
      <w:pPr>
        <w:sectPr>
          <w:headerReference w:type="default" r:id="rId44"/>
          <w:footerReference w:type="default" r:id="rId45"/>
          <w:type w:val="continuous"/>
          <w:pgSz w:w="12240" w:h="15840"/>
          <w:pgMar w:top="1080" w:right="900" w:bottom="1080" w:left="900" w:header="720" w:footer="720" w:gutter="0"/>
          <w:docGrid w:linePitch="360"/>
          <w:cols w:num="1" w:space="360"/>
        </w:sectPr>
      </w:pPr>
    </w:p>
    <w:p>
      <w:pPr>
        <w:spacing w:before="100" w:after="30"/>
        <w:ind w:firstLine="0"/>
        <w:jc w:val="left"/>
      </w:pPr>
      <w:r>
        <w:rPr>
          <w:rFonts w:ascii="Times New Roman" w:hAnsi="Times New Roman"/>
          <w:b/>
          <w:i/>
          <w:sz w:val="20"/>
          <w:rFonts w:ascii="Times New Roman" w:hAnsi="Times New Roman" w:cs="Times New Roman"/>
        </w:rPr>
        <w:t>B. Longitudinal Fold-by-Fold Stability Dynamics</w:t>
      </w:r>
    </w:p>
    <w:p>
      <w:pPr>
        <w:spacing w:after="40" w:line="245" w:lineRule="auto"/>
        <w:ind w:firstLine="216"/>
        <w:jc w:val="both"/>
      </w:pPr>
      <w:r>
        <w:rPr>
          <w:rFonts w:ascii="Times New Roman" w:hAnsi="Times New Roman"/>
          <w:b w:val="0"/>
          <w:i w:val="0"/>
          <w:sz w:val="20"/>
          <w:rFonts w:ascii="Times New Roman" w:hAnsi="Times New Roman" w:cs="Times New Roman"/>
        </w:rPr>
        <w:t>To examine temporal stability across tactical regimes and verify consistency between fold-level metrics and pooled estimates, Fig. 5 reports out-of-sample RMSE trajectories across all 11 test seasons in Design A (with complete fold-by-fold breakdowns provided in Table S-I of the Supplementary Materials). Weighting fold squared errors by fold size n confirms exact mathematical agreement with Table V: for the development period (2009–2014, n = 81 across 28 players), weighted persistence RMSE is 0.330 and RF RMSE is 0.342; for the confirmation period (2015–2019, n = 62 across 28 players), weighted persistence RMSE is exactly 0.321 and RF RMSE is 0.313.</w:t>
      </w:r>
    </w:p>
    <w:p>
      <w:pPr>
        <w:sectPr>
          <w:headerReference w:type="default" r:id="rId47"/>
          <w:footerReference w:type="default" r:id="rId48"/>
          <w:type w:val="continuous"/>
          <w:pgSz w:w="12240" w:h="15840"/>
          <w:pgMar w:top="1080" w:right="900" w:bottom="1080" w:left="900" w:header="720" w:footer="720" w:gutter="0"/>
          <w:docGrid w:linePitch="360"/>
          <w:cols w:num="2" w:space="360"/>
        </w:sectPr>
      </w:pPr>
    </w:p>
    <w:p>
      <w:pPr>
        <w:spacing w:before="80" w:after="20"/>
        <w:ind w:firstLine="0"/>
        <w:jc w:val="center"/>
      </w:pPr>
      <w:r>
        <w:drawing>
          <wp:inline xmlns:a="http://schemas.openxmlformats.org/drawingml/2006/main" xmlns:pic="http://schemas.openxmlformats.org/drawingml/2006/picture">
            <wp:extent cx="6400800" cy="2377440"/>
            <wp:docPr id="5" name="Picture 5"/>
            <wp:cNvGraphicFramePr>
              <a:graphicFrameLocks noChangeAspect="1"/>
            </wp:cNvGraphicFramePr>
            <a:graphic>
              <a:graphicData uri="http://schemas.openxmlformats.org/drawingml/2006/picture">
                <pic:pic>
                  <pic:nvPicPr>
                    <pic:cNvPr id="0" name="fig4_fold_rmse.png"/>
                    <pic:cNvPicPr/>
                  </pic:nvPicPr>
                  <pic:blipFill>
                    <a:blip r:embed="rId51"/>
                    <a:stretch>
                      <a:fillRect/>
                    </a:stretch>
                  </pic:blipFill>
                  <pic:spPr>
                    <a:xfrm>
                      <a:off x="0" y="0"/>
                      <a:ext cx="6400800" cy="2377440"/>
                    </a:xfrm>
                    <a:prstGeom prst="rect"/>
                  </pic:spPr>
                </pic:pic>
              </a:graphicData>
            </a:graphic>
          </wp:inline>
        </w:drawing>
      </w:r>
    </w:p>
    <w:p>
      <w:pPr>
        <w:spacing w:before="20" w:after="80" w:line="245" w:lineRule="auto"/>
        <w:ind w:firstLine="0"/>
        <w:jc w:val="both"/>
      </w:pPr>
      <w:r>
        <w:rPr>
          <w:rFonts w:ascii="Times New Roman" w:hAnsi="Times New Roman"/>
          <w:b/>
          <w:i w:val="0"/>
          <w:sz w:val="17"/>
          <w:rFonts w:ascii="Times New Roman" w:hAnsi="Times New Roman" w:cs="Times New Roman"/>
        </w:rPr>
        <w:t xml:space="preserve">Fig. 5. </w:t>
      </w:r>
      <w:r>
        <w:rPr>
          <w:rFonts w:ascii="Times New Roman" w:hAnsi="Times New Roman"/>
          <w:b w:val="0"/>
          <w:i/>
          <w:sz w:val="17"/>
          <w:rFonts w:ascii="Times New Roman" w:hAnsi="Times New Roman" w:cs="Times New Roman"/>
        </w:rPr>
        <w:t>Longitudinal out-of-sample fold-by-fold RMSE trajectories across 11 consecutive competitive seasons in Design A (FC Barcelona panel), comparing Calibrated Persistence (solid black line with circles), Random Forest (dashed line with squares), Ridge Regression (dotted line with diamonds), and the Positional Cohort Mean baseline (dash-dotted line with crosses). The vertical dotted line demarcates the initial model development tuning window (2009/10–2014/15; n = 81 transitions across 28 players) from the frozen held-out confirmation window (2015/16–2019/20; n = 62 transitions across 28 players). Calibrated persistence achieves lowest out-of-sample RMSE in 7 of 11 individual test seasons, while the uninformative cohort mean exhibits uniformly high error (~0.57–0.61). Detailed fold-by-fold figures are tabulated in Table S-I.</w:t>
      </w:r>
    </w:p>
    <w:p>
      <w:pPr>
        <w:sectPr>
          <w:headerReference w:type="default" r:id="rId49"/>
          <w:footerReference w:type="default" r:id="rId50"/>
          <w:type w:val="continuous"/>
          <w:pgSz w:w="12240" w:h="15840"/>
          <w:pgMar w:top="1080" w:right="900" w:bottom="1080" w:left="900" w:header="720" w:footer="720" w:gutter="0"/>
          <w:docGrid w:linePitch="360"/>
          <w:cols w:num="1" w:space="360"/>
        </w:sectPr>
      </w:pPr>
    </w:p>
    <w:p>
      <w:pPr>
        <w:spacing w:before="100" w:after="30"/>
        <w:ind w:firstLine="0"/>
        <w:jc w:val="left"/>
      </w:pPr>
      <w:r>
        <w:rPr>
          <w:rFonts w:ascii="Times New Roman" w:hAnsi="Times New Roman"/>
          <w:b/>
          <w:i/>
          <w:sz w:val="20"/>
          <w:rFonts w:ascii="Times New Roman" w:hAnsi="Times New Roman" w:cs="Times New Roman"/>
        </w:rPr>
        <w:t>C. Design B: Multi-League Intra-Season Block Benchmark</w:t>
      </w:r>
    </w:p>
    <w:p>
      <w:pPr>
        <w:spacing w:after="40" w:line="245" w:lineRule="auto"/>
        <w:ind w:firstLine="216"/>
        <w:jc w:val="both"/>
      </w:pPr>
      <w:r>
        <w:rPr>
          <w:rFonts w:ascii="Times New Roman" w:hAnsi="Times New Roman"/>
          <w:b w:val="0"/>
          <w:i w:val="0"/>
          <w:sz w:val="20"/>
          <w:rFonts w:ascii="Times New Roman" w:hAnsi="Times New Roman" w:cs="Times New Roman"/>
        </w:rPr>
        <w:t>Table VI displays results for the four-league intra-season block benchmark (Design B; 1,382 total block transitions across 805 unique athletes, divided into a development partition of n = 691 and a confirmation partition of n = 691). Each evaluation unit represents a competitive block. In this short-horizon regime, the larger sample size provides the statistical power necessary to detect noise-reduction effects.</w:t>
      </w:r>
    </w:p>
    <w:p>
      <w:pPr>
        <w:sectPr>
          <w:headerReference w:type="default" r:id="rId52"/>
          <w:footerReference w:type="default" r:id="rId53"/>
          <w:type w:val="continuous"/>
          <w:pgSz w:w="12240" w:h="15840"/>
          <w:pgMar w:top="1080" w:right="900" w:bottom="1080" w:left="900" w:header="720" w:footer="720" w:gutter="0"/>
          <w:docGrid w:linePitch="360"/>
          <w:cols w:num="2" w:space="360"/>
        </w:sectPr>
      </w:pPr>
    </w:p>
    <w:p>
      <w:pPr>
        <w:spacing w:before="100" w:after="16"/>
        <w:ind w:firstLine="0"/>
        <w:jc w:val="center"/>
      </w:pPr>
      <w:r>
        <w:rPr>
          <w:rFonts w:ascii="Times New Roman" w:hAnsi="Times New Roman"/>
          <w:b/>
          <w:i w:val="0"/>
          <w:sz w:val="17"/>
          <w:rFonts w:ascii="Times New Roman" w:hAnsi="Times New Roman" w:cs="Times New Roman"/>
        </w:rPr>
        <w:t>TABLE VI</w:t>
      </w:r>
    </w:p>
    <w:p>
      <w:pPr>
        <w:spacing w:after="40"/>
        <w:ind w:firstLine="0"/>
        <w:jc w:val="center"/>
      </w:pPr>
      <w:r>
        <w:rPr>
          <w:rFonts w:ascii="Times New Roman" w:hAnsi="Times New Roman"/>
          <w:b/>
          <w:i w:val="0"/>
          <w:sz w:val="16"/>
          <w:rFonts w:ascii="Times New Roman" w:hAnsi="Times New Roman" w:cs="Times New Roman"/>
        </w:rPr>
        <w:t>DESIGN B PRIMARY BENCHMARK RESULTS ACROSS FOUR EUROPEAN LEAGUES (DEV N = 691, CONFIRMATION N = 691 COMPETITIVE BLOCKS; 805 UNIQUE PLAYERS)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D1D5DB"/>
          <w:insideV w:val="none"/>
          <w:left w:val="none"/>
          <w:right w:val="none"/>
        </w:tblBorders>
      </w:tblPr>
      <w:tblGrid>
        <w:gridCol w:w="2088"/>
        <w:gridCol w:w="2088"/>
        <w:gridCol w:w="2088"/>
        <w:gridCol w:w="2088"/>
        <w:gridCol w:w="2088"/>
      </w:tblGrid>
      <w:tr>
        <w:tc>
          <w:tcPr>
            <w:tcW w:type="dxa" w:w="2160"/>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Model / Estimator</w:t>
            </w:r>
          </w:p>
        </w:tc>
        <w:tc>
          <w:tcPr>
            <w:tcW w:type="dxa" w:w="3024"/>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Feature Space Configuration</w:t>
            </w:r>
          </w:p>
        </w:tc>
        <w:tc>
          <w:tcPr>
            <w:tcW w:type="dxa" w:w="1152"/>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Dev RMSE (n=691)</w:t>
            </w:r>
          </w:p>
        </w:tc>
        <w:tc>
          <w:tcPr>
            <w:tcW w:type="dxa" w:w="2736"/>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Confirmation RMSE [95% CI] (n=691)</w:t>
            </w:r>
          </w:p>
        </w:tc>
        <w:tc>
          <w:tcPr>
            <w:tcW w:type="dxa" w:w="1296"/>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Spearman Rank Correlation (ρ)</w:t>
            </w:r>
          </w:p>
        </w:tc>
      </w:tr>
      <w:tr>
        <w:tc>
          <w:tcPr>
            <w:tcW w:type="dxa" w:w="2160"/>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Random Forest</w:t>
            </w:r>
          </w:p>
        </w:tc>
        <w:tc>
          <w:tcPr>
            <w:tcW w:type="dxa" w:w="302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Full (PI + Profile + Context + League + History)</w:t>
            </w:r>
          </w:p>
        </w:tc>
        <w:tc>
          <w:tcPr>
            <w:tcW w:type="dxa" w:w="115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0.378</w:t>
            </w:r>
          </w:p>
        </w:tc>
        <w:tc>
          <w:tcPr>
            <w:tcW w:type="dxa" w:w="2736"/>
            <w:shd w:fill="FFFFFF"/>
            <w:tcMar>
              <w:top w:w="25" w:type="dxa"/>
              <w:bottom w:w="25" w:type="dxa"/>
              <w:left w:w="50" w:type="dxa"/>
              <w:right w:w="50" w:type="dxa"/>
            </w:tcMar>
          </w:tcPr>
          <w:p>
            <w:pPr>
              <w:spacing w:after="0"/>
              <w:jc w:val="center"/>
            </w:pPr>
            <w:r/>
            <w:r>
              <w:rPr>
                <w:rFonts w:ascii="Times New Roman" w:hAnsi="Times New Roman"/>
                <w:b/>
                <w:i w:val="0"/>
                <w:sz w:val="16"/>
                <w:rFonts w:ascii="Times New Roman" w:hAnsi="Times New Roman" w:cs="Times New Roman"/>
              </w:rPr>
              <w:t>0.412 [0.387, 0.438]</w:t>
            </w:r>
          </w:p>
        </w:tc>
        <w:tc>
          <w:tcPr>
            <w:tcW w:type="dxa" w:w="1296"/>
            <w:shd w:fill="FFFFFF"/>
            <w:tcMar>
              <w:top w:w="25" w:type="dxa"/>
              <w:bottom w:w="25" w:type="dxa"/>
              <w:left w:w="50" w:type="dxa"/>
              <w:right w:w="50" w:type="dxa"/>
            </w:tcMar>
          </w:tcPr>
          <w:p>
            <w:pPr>
              <w:spacing w:after="0"/>
              <w:jc w:val="center"/>
            </w:pPr>
            <w:r/>
            <w:r>
              <w:rPr>
                <w:rFonts w:ascii="Times New Roman" w:hAnsi="Times New Roman"/>
                <w:b/>
                <w:i w:val="0"/>
                <w:sz w:val="16"/>
                <w:rFonts w:ascii="Times New Roman" w:hAnsi="Times New Roman" w:cs="Times New Roman"/>
              </w:rPr>
              <w:t>0.690</w:t>
            </w:r>
          </w:p>
        </w:tc>
      </w:tr>
      <w:tr>
        <w:tc>
          <w:tcPr>
            <w:tcW w:type="dxa" w:w="2160"/>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Elastic Net</w:t>
            </w:r>
          </w:p>
        </w:tc>
        <w:tc>
          <w:tcPr>
            <w:tcW w:type="dxa" w:w="302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Full Feature Space + History</w:t>
            </w:r>
          </w:p>
        </w:tc>
        <w:tc>
          <w:tcPr>
            <w:tcW w:type="dxa" w:w="115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0.386</w:t>
            </w:r>
          </w:p>
        </w:tc>
        <w:tc>
          <w:tcPr>
            <w:tcW w:type="dxa" w:w="273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0.414 [0.389, 0.439]</w:t>
            </w:r>
          </w:p>
        </w:tc>
        <w:tc>
          <w:tcPr>
            <w:tcW w:type="dxa" w:w="129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0.679</w:t>
            </w:r>
          </w:p>
        </w:tc>
      </w:tr>
      <w:tr>
        <w:tc>
          <w:tcPr>
            <w:tcW w:type="dxa" w:w="2160"/>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Ridge Regression</w:t>
            </w:r>
          </w:p>
        </w:tc>
        <w:tc>
          <w:tcPr>
            <w:tcW w:type="dxa" w:w="302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Full Feature Space + History</w:t>
            </w:r>
          </w:p>
        </w:tc>
        <w:tc>
          <w:tcPr>
            <w:tcW w:type="dxa" w:w="115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0.388</w:t>
            </w:r>
          </w:p>
        </w:tc>
        <w:tc>
          <w:tcPr>
            <w:tcW w:type="dxa" w:w="2736"/>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0.416 [0.391, 0.441]</w:t>
            </w:r>
          </w:p>
        </w:tc>
        <w:tc>
          <w:tcPr>
            <w:tcW w:type="dxa" w:w="1296"/>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0.673</w:t>
            </w:r>
          </w:p>
        </w:tc>
      </w:tr>
      <w:tr>
        <w:tc>
          <w:tcPr>
            <w:tcW w:type="dxa" w:w="2160"/>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LightGBM</w:t>
            </w:r>
          </w:p>
        </w:tc>
        <w:tc>
          <w:tcPr>
            <w:tcW w:type="dxa" w:w="302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PI + Rate Profile</w:t>
            </w:r>
          </w:p>
        </w:tc>
        <w:tc>
          <w:tcPr>
            <w:tcW w:type="dxa" w:w="115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0.402</w:t>
            </w:r>
          </w:p>
        </w:tc>
        <w:tc>
          <w:tcPr>
            <w:tcW w:type="dxa" w:w="273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0.431 [0.405, 0.457]</w:t>
            </w:r>
          </w:p>
        </w:tc>
        <w:tc>
          <w:tcPr>
            <w:tcW w:type="dxa" w:w="129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0.652</w:t>
            </w:r>
          </w:p>
        </w:tc>
      </w:tr>
      <w:tr>
        <w:tc>
          <w:tcPr>
            <w:tcW w:type="dxa" w:w="2160"/>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Multi-Period Avg Persistence</w:t>
            </w:r>
          </w:p>
        </w:tc>
        <w:tc>
          <w:tcPr>
            <w:tcW w:type="dxa" w:w="302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Rolling 2-Block Moving Average</w:t>
            </w:r>
          </w:p>
        </w:tc>
        <w:tc>
          <w:tcPr>
            <w:tcW w:type="dxa" w:w="115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0.401</w:t>
            </w:r>
          </w:p>
        </w:tc>
        <w:tc>
          <w:tcPr>
            <w:tcW w:type="dxa" w:w="2736"/>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0.422 [0.396, 0.449]</w:t>
            </w:r>
          </w:p>
        </w:tc>
        <w:tc>
          <w:tcPr>
            <w:tcW w:type="dxa" w:w="1296"/>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0.665</w:t>
            </w:r>
          </w:p>
        </w:tc>
      </w:tr>
      <w:tr>
        <w:tc>
          <w:tcPr>
            <w:tcW w:type="dxa" w:w="2160"/>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Calibrated Single Persistence</w:t>
            </w:r>
          </w:p>
        </w:tc>
        <w:tc>
          <w:tcPr>
            <w:tcW w:type="dxa" w:w="302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Base PI_t (Autoregressive Single-Period)</w:t>
            </w:r>
          </w:p>
        </w:tc>
        <w:tc>
          <w:tcPr>
            <w:tcW w:type="dxa" w:w="115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0.407</w:t>
            </w:r>
          </w:p>
        </w:tc>
        <w:tc>
          <w:tcPr>
            <w:tcW w:type="dxa" w:w="273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0.448 [0.420, 0.476]</w:t>
            </w:r>
          </w:p>
        </w:tc>
        <w:tc>
          <w:tcPr>
            <w:tcW w:type="dxa" w:w="129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0.623</w:t>
            </w:r>
          </w:p>
        </w:tc>
      </w:tr>
      <w:tr>
        <w:tc>
          <w:tcPr>
            <w:tcW w:type="dxa" w:w="2160"/>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Raw Persistence</w:t>
            </w:r>
          </w:p>
        </w:tc>
        <w:tc>
          <w:tcPr>
            <w:tcW w:type="dxa" w:w="302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Uncalibrated PI_t</w:t>
            </w:r>
          </w:p>
        </w:tc>
        <w:tc>
          <w:tcPr>
            <w:tcW w:type="dxa" w:w="115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0.453</w:t>
            </w:r>
          </w:p>
        </w:tc>
        <w:tc>
          <w:tcPr>
            <w:tcW w:type="dxa" w:w="2736"/>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0.468 [0.438, 0.500]</w:t>
            </w:r>
          </w:p>
        </w:tc>
        <w:tc>
          <w:tcPr>
            <w:tcW w:type="dxa" w:w="1296"/>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0.623</w:t>
            </w:r>
          </w:p>
        </w:tc>
      </w:tr>
      <w:tr>
        <w:tc>
          <w:tcPr>
            <w:tcW w:type="dxa" w:w="2160"/>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Position Cohort Mean</w:t>
            </w:r>
          </w:p>
        </w:tc>
        <w:tc>
          <w:tcPr>
            <w:tcW w:type="dxa" w:w="302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Positional Null Baseline</w:t>
            </w:r>
          </w:p>
        </w:tc>
        <w:tc>
          <w:tcPr>
            <w:tcW w:type="dxa" w:w="115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0.505</w:t>
            </w:r>
          </w:p>
        </w:tc>
        <w:tc>
          <w:tcPr>
            <w:tcW w:type="dxa" w:w="273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0.574 [0.541, 0.608]</w:t>
            </w:r>
          </w:p>
        </w:tc>
        <w:tc>
          <w:tcPr>
            <w:tcW w:type="dxa" w:w="129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0.000</w:t>
            </w:r>
          </w:p>
        </w:tc>
      </w:tr>
      <w:tr>
        <w:tc>
          <w:tcPr>
            <w:tcW w:type="dxa" w:w="2160"/>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Legacy WSM</w:t>
            </w:r>
          </w:p>
        </w:tc>
        <w:tc>
          <w:tcPr>
            <w:tcW w:type="dxa" w:w="302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MCDA Weighted Sum Ranker</w:t>
            </w:r>
          </w:p>
        </w:tc>
        <w:tc>
          <w:tcPr>
            <w:tcW w:type="dxa" w:w="115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0.498</w:t>
            </w:r>
          </w:p>
        </w:tc>
        <w:tc>
          <w:tcPr>
            <w:tcW w:type="dxa" w:w="2736"/>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0.567 [0.534, 0.601]</w:t>
            </w:r>
          </w:p>
        </w:tc>
        <w:tc>
          <w:tcPr>
            <w:tcW w:type="dxa" w:w="1296"/>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0.137</w:t>
            </w:r>
          </w:p>
        </w:tc>
      </w:tr>
      <w:tr>
        <w:tc>
          <w:tcPr>
            <w:tcW w:type="dxa" w:w="2160"/>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Legacy TOPSIS</w:t>
            </w:r>
          </w:p>
        </w:tc>
        <w:tc>
          <w:tcPr>
            <w:tcW w:type="dxa" w:w="302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MCDA Ideal Solution Distance</w:t>
            </w:r>
          </w:p>
        </w:tc>
        <w:tc>
          <w:tcPr>
            <w:tcW w:type="dxa" w:w="115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0.501</w:t>
            </w:r>
          </w:p>
        </w:tc>
        <w:tc>
          <w:tcPr>
            <w:tcW w:type="dxa" w:w="273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0.569 [0.536, 0.603]</w:t>
            </w:r>
          </w:p>
        </w:tc>
        <w:tc>
          <w:tcPr>
            <w:tcW w:type="dxa" w:w="1296"/>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0.111</w:t>
            </w:r>
          </w:p>
        </w:tc>
      </w:tr>
      <w:tr>
        <w:tc>
          <w:tcPr>
            <w:tcW w:type="dxa" w:w="2160"/>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Legacy VIKOR</w:t>
            </w:r>
          </w:p>
        </w:tc>
        <w:tc>
          <w:tcPr>
            <w:tcW w:type="dxa" w:w="302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MCDA Compromise Solution</w:t>
            </w:r>
          </w:p>
        </w:tc>
        <w:tc>
          <w:tcPr>
            <w:tcW w:type="dxa" w:w="115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0.497</w:t>
            </w:r>
          </w:p>
        </w:tc>
        <w:tc>
          <w:tcPr>
            <w:tcW w:type="dxa" w:w="2736"/>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0.564 [0.532, 0.599]</w:t>
            </w:r>
          </w:p>
        </w:tc>
        <w:tc>
          <w:tcPr>
            <w:tcW w:type="dxa" w:w="1296"/>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0.143</w:t>
            </w:r>
          </w:p>
        </w:tc>
      </w:tr>
    </w:tbl>
    <w:p>
      <w:pPr>
        <w:sectPr>
          <w:headerReference w:type="default" r:id="rId54"/>
          <w:footerReference w:type="default" r:id="rId55"/>
          <w:type w:val="continuous"/>
          <w:pgSz w:w="12240" w:h="15840"/>
          <w:pgMar w:top="1080" w:right="900" w:bottom="1080" w:left="900" w:header="720" w:footer="720" w:gutter="0"/>
          <w:docGrid w:linePitch="360"/>
          <w:cols w:num="1" w:space="360"/>
        </w:sectPr>
      </w:pPr>
    </w:p>
    <w:p>
      <w:pPr>
        <w:spacing w:after="40" w:line="245" w:lineRule="auto"/>
        <w:ind w:firstLine="216"/>
        <w:jc w:val="both"/>
      </w:pPr>
      <w:r>
        <w:rPr>
          <w:rFonts w:ascii="Times New Roman" w:hAnsi="Times New Roman"/>
          <w:b w:val="0"/>
          <w:i w:val="0"/>
          <w:sz w:val="20"/>
          <w:rFonts w:ascii="Times New Roman" w:hAnsi="Times New Roman" w:cs="Times New Roman"/>
        </w:rPr>
        <w:t>Empirical Verdict for Hypothesis H2 and the Role of Baseline Fairness: In Design B, Random Forest achieves an 8.0% RMSE reduction relative to single-period calibrated persistence (0.412 vs. 0.448; paired difference -0.035, 95% CI [-0.049, -0.022], strictly excluding zero; Fig. 4b), confirming Hypothesis H2. However, this gain reflects linear temporal noise filtering rather than complex interaction discovery: multi-period moving-average persistence (RMSE = 0.422) closes 72% of the gap over single-period persistence, while linear Ridge regression (RMSE = 0.416 [0.391, 0.441]) captures 89% of Random Forest's improvement (-0.032 vs. -0.036; paired difference -0.004 spans zero). In parallel, half-season evaluation (19 matchweeks; n = 644) yields an RMSE of 0.394 for RF vs. 0.405 for Ridge, 0.420 for persistence, and 0.608 for position mean (a 6.2% error reduction over single persistence).</w:t>
      </w:r>
    </w:p>
    <w:p>
      <w:pPr>
        <w:spacing w:after="40" w:line="245" w:lineRule="auto"/>
        <w:ind w:firstLine="216"/>
        <w:jc w:val="both"/>
      </w:pPr>
      <w:r>
        <w:rPr>
          <w:rFonts w:ascii="Times New Roman" w:hAnsi="Times New Roman"/>
          <w:b w:val="0"/>
          <w:i w:val="0"/>
          <w:sz w:val="20"/>
          <w:rFonts w:ascii="Times New Roman" w:hAnsi="Times New Roman" w:cs="Times New Roman"/>
        </w:rPr>
        <w:t>Exploratory Position-Specific Forecasting Benchmark: To examine whether persistence patterns hold across pitch roles, Table VII reports confirmation RMSE by position group across both designs, revealing results that are broadly consistent, with exploratory, low-n, role-level variation. In Design A (annual), persistence outperforms Random Forest for forwards (0.219 vs. 0.273), while the two models tie for defenders (0.284 vs. 0.285); RF is better for midfielders (0.376 vs. 0.422, though n = 19 with wide uncertainty). In Design B (9-matchweek blocks), RF achieves modest gains over persistence across all roles (5% to 12% error reductions), but linear Ridge regression captures 67.9% to 100%+ of RF's gain: defenders (Ridge 0.357 vs. RF 0.348; 67.9% share), midfielders (Ridge 0.427 outperforms RF 0.430; 100%+ share), and forwards (Ridge 0.487 vs. RF 0.480; 89.1% share). What differs most across positions is not internal predictability, but external construct validity: the composite tracks selection and valuation for forwards, but fails to show detectable association for defenders and midfielders (Table S-V).</w:t>
      </w:r>
    </w:p>
    <w:p>
      <w:pPr>
        <w:spacing w:before="60" w:after="16"/>
        <w:ind w:firstLine="0"/>
        <w:jc w:val="center"/>
      </w:pPr>
      <w:r>
        <w:rPr>
          <w:rFonts w:ascii="Times New Roman" w:hAnsi="Times New Roman"/>
          <w:b/>
          <w:i w:val="0"/>
          <w:sz w:val="17"/>
          <w:rFonts w:ascii="Times New Roman" w:hAnsi="Times New Roman" w:cs="Times New Roman"/>
        </w:rPr>
        <w:t>TABLE VII</w:t>
      </w:r>
    </w:p>
    <w:p>
      <w:pPr>
        <w:spacing w:after="24"/>
        <w:ind w:firstLine="0"/>
        <w:jc w:val="center"/>
      </w:pPr>
      <w:r>
        <w:rPr>
          <w:rFonts w:ascii="Times New Roman" w:hAnsi="Times New Roman"/>
          <w:b/>
          <w:i w:val="0"/>
          <w:sz w:val="16"/>
          <w:rFonts w:ascii="Times New Roman" w:hAnsi="Times New Roman" w:cs="Times New Roman"/>
        </w:rPr>
        <w:t>EXPLORATORY POSITION-SPECIFIC FORECASTING BENCHMARK ACROSS DESIGN A AND DESIGN B CONFIRMATION SETS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D1D5DB"/>
          <w:insideV w:val="none"/>
          <w:left w:val="none"/>
          <w:right w:val="none"/>
        </w:tblBorders>
      </w:tblPr>
      <w:tblGrid>
        <w:gridCol w:w="1740"/>
        <w:gridCol w:w="1740"/>
        <w:gridCol w:w="1740"/>
        <w:gridCol w:w="1740"/>
        <w:gridCol w:w="1740"/>
        <w:gridCol w:w="1740"/>
      </w:tblGrid>
      <w:tr>
        <w:tc>
          <w:tcPr>
            <w:tcW w:type="dxa" w:w="1368"/>
            <w:shd w:fill="F3F4F6"/>
            <w:tcMar>
              <w:top w:w="6" w:type="dxa"/>
              <w:bottom w:w="6" w:type="dxa"/>
              <w:left w:w="35" w:type="dxa"/>
              <w:right w:w="35" w:type="dxa"/>
            </w:tcMar>
          </w:tcPr>
          <w:p>
            <w:pPr>
              <w:spacing w:after="0"/>
              <w:jc w:val="center"/>
            </w:pPr>
            <w:r/>
            <w:r>
              <w:rPr>
                <w:rFonts w:ascii="Times New Roman" w:hAnsi="Times New Roman"/>
                <w:b/>
                <w:i w:val="0"/>
                <w:sz w:val="14"/>
                <w:rFonts w:ascii="Times New Roman" w:hAnsi="Times New Roman" w:cs="Times New Roman"/>
              </w:rPr>
              <w:t>Partition &amp; Group</w:t>
            </w:r>
          </w:p>
        </w:tc>
        <w:tc>
          <w:tcPr>
            <w:tcW w:type="dxa" w:w="432"/>
            <w:shd w:fill="F3F4F6"/>
            <w:tcMar>
              <w:top w:w="6" w:type="dxa"/>
              <w:bottom w:w="6" w:type="dxa"/>
              <w:left w:w="35" w:type="dxa"/>
              <w:right w:w="35" w:type="dxa"/>
            </w:tcMar>
          </w:tcPr>
          <w:p>
            <w:pPr>
              <w:spacing w:after="0"/>
              <w:jc w:val="center"/>
            </w:pPr>
            <w:r/>
            <w:r>
              <w:rPr>
                <w:rFonts w:ascii="Times New Roman" w:hAnsi="Times New Roman"/>
                <w:b/>
                <w:i w:val="0"/>
                <w:sz w:val="14"/>
                <w:rFonts w:ascii="Times New Roman" w:hAnsi="Times New Roman" w:cs="Times New Roman"/>
              </w:rPr>
              <w:t>n</w:t>
            </w:r>
          </w:p>
        </w:tc>
        <w:tc>
          <w:tcPr>
            <w:tcW w:type="dxa" w:w="720"/>
            <w:shd w:fill="F3F4F6"/>
            <w:tcMar>
              <w:top w:w="6" w:type="dxa"/>
              <w:bottom w:w="6" w:type="dxa"/>
              <w:left w:w="35" w:type="dxa"/>
              <w:right w:w="35" w:type="dxa"/>
            </w:tcMar>
          </w:tcPr>
          <w:p>
            <w:pPr>
              <w:spacing w:after="0"/>
              <w:jc w:val="center"/>
            </w:pPr>
            <w:r/>
            <w:r>
              <w:rPr>
                <w:rFonts w:ascii="Times New Roman" w:hAnsi="Times New Roman"/>
                <w:b/>
                <w:i w:val="0"/>
                <w:sz w:val="14"/>
                <w:rFonts w:ascii="Times New Roman" w:hAnsi="Times New Roman" w:cs="Times New Roman"/>
              </w:rPr>
              <w:t>Pers RMSE</w:t>
            </w:r>
          </w:p>
        </w:tc>
        <w:tc>
          <w:tcPr>
            <w:tcW w:type="dxa" w:w="720"/>
            <w:shd w:fill="F3F4F6"/>
            <w:tcMar>
              <w:top w:w="6" w:type="dxa"/>
              <w:bottom w:w="6" w:type="dxa"/>
              <w:left w:w="35" w:type="dxa"/>
              <w:right w:w="35" w:type="dxa"/>
            </w:tcMar>
          </w:tcPr>
          <w:p>
            <w:pPr>
              <w:spacing w:after="0"/>
              <w:jc w:val="center"/>
            </w:pPr>
            <w:r/>
            <w:r>
              <w:rPr>
                <w:rFonts w:ascii="Times New Roman" w:hAnsi="Times New Roman"/>
                <w:b/>
                <w:i w:val="0"/>
                <w:sz w:val="14"/>
                <w:rFonts w:ascii="Times New Roman" w:hAnsi="Times New Roman" w:cs="Times New Roman"/>
              </w:rPr>
              <w:t>Ridge RMSE</w:t>
            </w:r>
          </w:p>
        </w:tc>
        <w:tc>
          <w:tcPr>
            <w:tcW w:type="dxa" w:w="720"/>
            <w:shd w:fill="F3F4F6"/>
            <w:tcMar>
              <w:top w:w="6" w:type="dxa"/>
              <w:bottom w:w="6" w:type="dxa"/>
              <w:left w:w="35" w:type="dxa"/>
              <w:right w:w="35" w:type="dxa"/>
            </w:tcMar>
          </w:tcPr>
          <w:p>
            <w:pPr>
              <w:spacing w:after="0"/>
              <w:jc w:val="center"/>
            </w:pPr>
            <w:r/>
            <w:r>
              <w:rPr>
                <w:rFonts w:ascii="Times New Roman" w:hAnsi="Times New Roman"/>
                <w:b/>
                <w:i w:val="0"/>
                <w:sz w:val="14"/>
                <w:rFonts w:ascii="Times New Roman" w:hAnsi="Times New Roman" w:cs="Times New Roman"/>
              </w:rPr>
              <w:t>RF RMSE</w:t>
            </w:r>
          </w:p>
        </w:tc>
        <w:tc>
          <w:tcPr>
            <w:tcW w:type="dxa" w:w="720"/>
            <w:shd w:fill="F3F4F6"/>
            <w:tcMar>
              <w:top w:w="6" w:type="dxa"/>
              <w:bottom w:w="6" w:type="dxa"/>
              <w:left w:w="35" w:type="dxa"/>
              <w:right w:w="35" w:type="dxa"/>
            </w:tcMar>
          </w:tcPr>
          <w:p>
            <w:pPr>
              <w:spacing w:after="0"/>
              <w:jc w:val="center"/>
            </w:pPr>
            <w:r/>
            <w:r>
              <w:rPr>
                <w:rFonts w:ascii="Times New Roman" w:hAnsi="Times New Roman"/>
                <w:b/>
                <w:i w:val="0"/>
                <w:sz w:val="14"/>
                <w:rFonts w:ascii="Times New Roman" w:hAnsi="Times New Roman" w:cs="Times New Roman"/>
              </w:rPr>
              <w:t>Ridge Share</w:t>
            </w:r>
          </w:p>
        </w:tc>
      </w:tr>
      <w:tr>
        <w:tc>
          <w:tcPr>
            <w:tcW w:type="dxa" w:w="1368"/>
            <w:shd w:fill="FFFFFF"/>
            <w:tcMar>
              <w:top w:w="6" w:type="dxa"/>
              <w:bottom w:w="6" w:type="dxa"/>
              <w:left w:w="35" w:type="dxa"/>
              <w:right w:w="35" w:type="dxa"/>
            </w:tcMar>
          </w:tcPr>
          <w:p>
            <w:pPr>
              <w:spacing w:after="0"/>
              <w:jc w:val="left"/>
            </w:pPr>
            <w:r/>
            <w:r>
              <w:rPr>
                <w:rFonts w:ascii="Times New Roman" w:hAnsi="Times New Roman"/>
                <w:b w:val="0"/>
                <w:i w:val="0"/>
                <w:sz w:val="14"/>
                <w:rFonts w:ascii="Times New Roman" w:hAnsi="Times New Roman" w:cs="Times New Roman"/>
              </w:rPr>
              <w:t>Design A: DEF</w:t>
            </w:r>
          </w:p>
        </w:tc>
        <w:tc>
          <w:tcPr>
            <w:tcW w:type="dxa" w:w="432"/>
            <w:shd w:fill="FFFFFF"/>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29</w:t>
            </w:r>
          </w:p>
        </w:tc>
        <w:tc>
          <w:tcPr>
            <w:tcW w:type="dxa" w:w="720"/>
            <w:shd w:fill="FFFFFF"/>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0.284</w:t>
            </w:r>
          </w:p>
        </w:tc>
        <w:tc>
          <w:tcPr>
            <w:tcW w:type="dxa" w:w="720"/>
            <w:shd w:fill="FFFFFF"/>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0.283</w:t>
            </w:r>
          </w:p>
        </w:tc>
        <w:tc>
          <w:tcPr>
            <w:tcW w:type="dxa" w:w="720"/>
            <w:shd w:fill="FFFFFF"/>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0.285</w:t>
            </w:r>
          </w:p>
        </w:tc>
        <w:tc>
          <w:tcPr>
            <w:tcW w:type="dxa" w:w="720"/>
            <w:shd w:fill="FFFFFF"/>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w:t>
            </w:r>
          </w:p>
        </w:tc>
      </w:tr>
      <w:tr>
        <w:tc>
          <w:tcPr>
            <w:tcW w:type="dxa" w:w="1368"/>
            <w:shd w:fill="F9FAFB"/>
            <w:tcMar>
              <w:top w:w="6" w:type="dxa"/>
              <w:bottom w:w="6" w:type="dxa"/>
              <w:left w:w="35" w:type="dxa"/>
              <w:right w:w="35" w:type="dxa"/>
            </w:tcMar>
          </w:tcPr>
          <w:p>
            <w:pPr>
              <w:spacing w:after="0"/>
              <w:jc w:val="left"/>
            </w:pPr>
            <w:r/>
            <w:r>
              <w:rPr>
                <w:rFonts w:ascii="Times New Roman" w:hAnsi="Times New Roman"/>
                <w:b w:val="0"/>
                <w:i w:val="0"/>
                <w:sz w:val="14"/>
                <w:rFonts w:ascii="Times New Roman" w:hAnsi="Times New Roman" w:cs="Times New Roman"/>
              </w:rPr>
              <w:t>Design A: MID</w:t>
            </w:r>
          </w:p>
        </w:tc>
        <w:tc>
          <w:tcPr>
            <w:tcW w:type="dxa" w:w="432"/>
            <w:shd w:fill="F9FAFB"/>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19</w:t>
            </w:r>
          </w:p>
        </w:tc>
        <w:tc>
          <w:tcPr>
            <w:tcW w:type="dxa" w:w="720"/>
            <w:shd w:fill="F9FAFB"/>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0.422</w:t>
            </w:r>
          </w:p>
        </w:tc>
        <w:tc>
          <w:tcPr>
            <w:tcW w:type="dxa" w:w="720"/>
            <w:shd w:fill="F9FAFB"/>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0.425</w:t>
            </w:r>
          </w:p>
        </w:tc>
        <w:tc>
          <w:tcPr>
            <w:tcW w:type="dxa" w:w="720"/>
            <w:shd w:fill="F9FAFB"/>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0.376</w:t>
            </w:r>
          </w:p>
        </w:tc>
        <w:tc>
          <w:tcPr>
            <w:tcW w:type="dxa" w:w="720"/>
            <w:shd w:fill="F9FAFB"/>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w:t>
            </w:r>
          </w:p>
        </w:tc>
      </w:tr>
      <w:tr>
        <w:tc>
          <w:tcPr>
            <w:tcW w:type="dxa" w:w="1368"/>
            <w:shd w:fill="FFFFFF"/>
            <w:tcMar>
              <w:top w:w="6" w:type="dxa"/>
              <w:bottom w:w="6" w:type="dxa"/>
              <w:left w:w="35" w:type="dxa"/>
              <w:right w:w="35" w:type="dxa"/>
            </w:tcMar>
          </w:tcPr>
          <w:p>
            <w:pPr>
              <w:spacing w:after="0"/>
              <w:jc w:val="left"/>
            </w:pPr>
            <w:r/>
            <w:r>
              <w:rPr>
                <w:rFonts w:ascii="Times New Roman" w:hAnsi="Times New Roman"/>
                <w:b w:val="0"/>
                <w:i w:val="0"/>
                <w:sz w:val="14"/>
                <w:rFonts w:ascii="Times New Roman" w:hAnsi="Times New Roman" w:cs="Times New Roman"/>
              </w:rPr>
              <w:t>Design A: FWD</w:t>
            </w:r>
          </w:p>
        </w:tc>
        <w:tc>
          <w:tcPr>
            <w:tcW w:type="dxa" w:w="432"/>
            <w:shd w:fill="FFFFFF"/>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14</w:t>
            </w:r>
          </w:p>
        </w:tc>
        <w:tc>
          <w:tcPr>
            <w:tcW w:type="dxa" w:w="720"/>
            <w:shd w:fill="FFFFFF"/>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0.219</w:t>
            </w:r>
          </w:p>
        </w:tc>
        <w:tc>
          <w:tcPr>
            <w:tcW w:type="dxa" w:w="720"/>
            <w:shd w:fill="FFFFFF"/>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0.229</w:t>
            </w:r>
          </w:p>
        </w:tc>
        <w:tc>
          <w:tcPr>
            <w:tcW w:type="dxa" w:w="720"/>
            <w:shd w:fill="FFFFFF"/>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0.273</w:t>
            </w:r>
          </w:p>
        </w:tc>
        <w:tc>
          <w:tcPr>
            <w:tcW w:type="dxa" w:w="720"/>
            <w:shd w:fill="FFFFFF"/>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w:t>
            </w:r>
          </w:p>
        </w:tc>
      </w:tr>
      <w:tr>
        <w:tc>
          <w:tcPr>
            <w:tcW w:type="dxa" w:w="1368"/>
            <w:shd w:fill="F9FAFB"/>
            <w:tcMar>
              <w:top w:w="6" w:type="dxa"/>
              <w:bottom w:w="6" w:type="dxa"/>
              <w:left w:w="35" w:type="dxa"/>
              <w:right w:w="35" w:type="dxa"/>
            </w:tcMar>
          </w:tcPr>
          <w:p>
            <w:pPr>
              <w:spacing w:after="0"/>
              <w:jc w:val="left"/>
            </w:pPr>
            <w:r/>
            <w:r>
              <w:rPr>
                <w:rFonts w:ascii="Times New Roman" w:hAnsi="Times New Roman"/>
                <w:b w:val="0"/>
                <w:i w:val="0"/>
                <w:sz w:val="14"/>
                <w:rFonts w:ascii="Times New Roman" w:hAnsi="Times New Roman" w:cs="Times New Roman"/>
              </w:rPr>
              <w:t>Design A: Pooled</w:t>
            </w:r>
          </w:p>
        </w:tc>
        <w:tc>
          <w:tcPr>
            <w:tcW w:type="dxa" w:w="432"/>
            <w:shd w:fill="F9FAFB"/>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62</w:t>
            </w:r>
          </w:p>
        </w:tc>
        <w:tc>
          <w:tcPr>
            <w:tcW w:type="dxa" w:w="720"/>
            <w:shd w:fill="F9FAFB"/>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0.321</w:t>
            </w:r>
          </w:p>
        </w:tc>
        <w:tc>
          <w:tcPr>
            <w:tcW w:type="dxa" w:w="720"/>
            <w:shd w:fill="F9FAFB"/>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0.324</w:t>
            </w:r>
          </w:p>
        </w:tc>
        <w:tc>
          <w:tcPr>
            <w:tcW w:type="dxa" w:w="720"/>
            <w:shd w:fill="F9FAFB"/>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0.313</w:t>
            </w:r>
          </w:p>
        </w:tc>
        <w:tc>
          <w:tcPr>
            <w:tcW w:type="dxa" w:w="720"/>
            <w:shd w:fill="F9FAFB"/>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w:t>
            </w:r>
          </w:p>
        </w:tc>
      </w:tr>
      <w:tr>
        <w:tc>
          <w:tcPr>
            <w:tcW w:type="dxa" w:w="1368"/>
            <w:shd w:fill="FFFFFF"/>
            <w:tcMar>
              <w:top w:w="6" w:type="dxa"/>
              <w:bottom w:w="6" w:type="dxa"/>
              <w:left w:w="35" w:type="dxa"/>
              <w:right w:w="35" w:type="dxa"/>
            </w:tcMar>
          </w:tcPr>
          <w:p>
            <w:pPr>
              <w:spacing w:after="0"/>
              <w:jc w:val="left"/>
            </w:pPr>
            <w:r/>
            <w:r>
              <w:rPr>
                <w:rFonts w:ascii="Times New Roman" w:hAnsi="Times New Roman"/>
                <w:b w:val="0"/>
                <w:i w:val="0"/>
                <w:sz w:val="14"/>
                <w:rFonts w:ascii="Times New Roman" w:hAnsi="Times New Roman" w:cs="Times New Roman"/>
              </w:rPr>
              <w:t>Design B: DEF</w:t>
            </w:r>
          </w:p>
        </w:tc>
        <w:tc>
          <w:tcPr>
            <w:tcW w:type="dxa" w:w="432"/>
            <w:shd w:fill="FFFFFF"/>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281</w:t>
            </w:r>
          </w:p>
        </w:tc>
        <w:tc>
          <w:tcPr>
            <w:tcW w:type="dxa" w:w="720"/>
            <w:shd w:fill="FFFFFF"/>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0.376</w:t>
            </w:r>
          </w:p>
        </w:tc>
        <w:tc>
          <w:tcPr>
            <w:tcW w:type="dxa" w:w="720"/>
            <w:shd w:fill="FFFFFF"/>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0.357</w:t>
            </w:r>
          </w:p>
        </w:tc>
        <w:tc>
          <w:tcPr>
            <w:tcW w:type="dxa" w:w="720"/>
            <w:shd w:fill="FFFFFF"/>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0.348</w:t>
            </w:r>
          </w:p>
        </w:tc>
        <w:tc>
          <w:tcPr>
            <w:tcW w:type="dxa" w:w="720"/>
            <w:shd w:fill="FFFFFF"/>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67.9%</w:t>
            </w:r>
          </w:p>
        </w:tc>
      </w:tr>
      <w:tr>
        <w:tc>
          <w:tcPr>
            <w:tcW w:type="dxa" w:w="1368"/>
            <w:shd w:fill="F9FAFB"/>
            <w:tcMar>
              <w:top w:w="6" w:type="dxa"/>
              <w:bottom w:w="6" w:type="dxa"/>
              <w:left w:w="35" w:type="dxa"/>
              <w:right w:w="35" w:type="dxa"/>
            </w:tcMar>
          </w:tcPr>
          <w:p>
            <w:pPr>
              <w:spacing w:after="0"/>
              <w:jc w:val="left"/>
            </w:pPr>
            <w:r/>
            <w:r>
              <w:rPr>
                <w:rFonts w:ascii="Times New Roman" w:hAnsi="Times New Roman"/>
                <w:b w:val="0"/>
                <w:i w:val="0"/>
                <w:sz w:val="14"/>
                <w:rFonts w:ascii="Times New Roman" w:hAnsi="Times New Roman" w:cs="Times New Roman"/>
              </w:rPr>
              <w:t>Design B: MID</w:t>
            </w:r>
          </w:p>
        </w:tc>
        <w:tc>
          <w:tcPr>
            <w:tcW w:type="dxa" w:w="432"/>
            <w:shd w:fill="F9FAFB"/>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246</w:t>
            </w:r>
          </w:p>
        </w:tc>
        <w:tc>
          <w:tcPr>
            <w:tcW w:type="dxa" w:w="720"/>
            <w:shd w:fill="F9FAFB"/>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0.452</w:t>
            </w:r>
          </w:p>
        </w:tc>
        <w:tc>
          <w:tcPr>
            <w:tcW w:type="dxa" w:w="720"/>
            <w:shd w:fill="F9FAFB"/>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0.427</w:t>
            </w:r>
          </w:p>
        </w:tc>
        <w:tc>
          <w:tcPr>
            <w:tcW w:type="dxa" w:w="720"/>
            <w:shd w:fill="F9FAFB"/>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0.430</w:t>
            </w:r>
          </w:p>
        </w:tc>
        <w:tc>
          <w:tcPr>
            <w:tcW w:type="dxa" w:w="720"/>
            <w:shd w:fill="F9FAFB"/>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100.0%+</w:t>
            </w:r>
          </w:p>
        </w:tc>
      </w:tr>
      <w:tr>
        <w:tc>
          <w:tcPr>
            <w:tcW w:type="dxa" w:w="1368"/>
            <w:shd w:fill="FFFFFF"/>
            <w:tcMar>
              <w:top w:w="6" w:type="dxa"/>
              <w:bottom w:w="6" w:type="dxa"/>
              <w:left w:w="35" w:type="dxa"/>
              <w:right w:w="35" w:type="dxa"/>
            </w:tcMar>
          </w:tcPr>
          <w:p>
            <w:pPr>
              <w:spacing w:after="0"/>
              <w:jc w:val="left"/>
            </w:pPr>
            <w:r/>
            <w:r>
              <w:rPr>
                <w:rFonts w:ascii="Times New Roman" w:hAnsi="Times New Roman"/>
                <w:b w:val="0"/>
                <w:i w:val="0"/>
                <w:sz w:val="14"/>
                <w:rFonts w:ascii="Times New Roman" w:hAnsi="Times New Roman" w:cs="Times New Roman"/>
              </w:rPr>
              <w:t>Design B: FWD</w:t>
            </w:r>
          </w:p>
        </w:tc>
        <w:tc>
          <w:tcPr>
            <w:tcW w:type="dxa" w:w="432"/>
            <w:shd w:fill="FFFFFF"/>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164</w:t>
            </w:r>
          </w:p>
        </w:tc>
        <w:tc>
          <w:tcPr>
            <w:tcW w:type="dxa" w:w="720"/>
            <w:shd w:fill="FFFFFF"/>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0.544</w:t>
            </w:r>
          </w:p>
        </w:tc>
        <w:tc>
          <w:tcPr>
            <w:tcW w:type="dxa" w:w="720"/>
            <w:shd w:fill="FFFFFF"/>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0.487</w:t>
            </w:r>
          </w:p>
        </w:tc>
        <w:tc>
          <w:tcPr>
            <w:tcW w:type="dxa" w:w="720"/>
            <w:shd w:fill="FFFFFF"/>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0.480</w:t>
            </w:r>
          </w:p>
        </w:tc>
        <w:tc>
          <w:tcPr>
            <w:tcW w:type="dxa" w:w="720"/>
            <w:shd w:fill="FFFFFF"/>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89.1%</w:t>
            </w:r>
          </w:p>
        </w:tc>
      </w:tr>
      <w:tr>
        <w:tc>
          <w:tcPr>
            <w:tcW w:type="dxa" w:w="1368"/>
            <w:shd w:fill="F9FAFB"/>
            <w:tcMar>
              <w:top w:w="6" w:type="dxa"/>
              <w:bottom w:w="6" w:type="dxa"/>
              <w:left w:w="35" w:type="dxa"/>
              <w:right w:w="35" w:type="dxa"/>
            </w:tcMar>
          </w:tcPr>
          <w:p>
            <w:pPr>
              <w:spacing w:after="0"/>
              <w:jc w:val="left"/>
            </w:pPr>
            <w:r/>
            <w:r>
              <w:rPr>
                <w:rFonts w:ascii="Times New Roman" w:hAnsi="Times New Roman"/>
                <w:b w:val="0"/>
                <w:i w:val="0"/>
                <w:sz w:val="14"/>
                <w:rFonts w:ascii="Times New Roman" w:hAnsi="Times New Roman" w:cs="Times New Roman"/>
              </w:rPr>
              <w:t>Design B: Pooled</w:t>
            </w:r>
          </w:p>
        </w:tc>
        <w:tc>
          <w:tcPr>
            <w:tcW w:type="dxa" w:w="432"/>
            <w:shd w:fill="F9FAFB"/>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691</w:t>
            </w:r>
          </w:p>
        </w:tc>
        <w:tc>
          <w:tcPr>
            <w:tcW w:type="dxa" w:w="720"/>
            <w:shd w:fill="F9FAFB"/>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0.448</w:t>
            </w:r>
          </w:p>
        </w:tc>
        <w:tc>
          <w:tcPr>
            <w:tcW w:type="dxa" w:w="720"/>
            <w:shd w:fill="F9FAFB"/>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0.416</w:t>
            </w:r>
          </w:p>
        </w:tc>
        <w:tc>
          <w:tcPr>
            <w:tcW w:type="dxa" w:w="720"/>
            <w:shd w:fill="F9FAFB"/>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0.412</w:t>
            </w:r>
          </w:p>
        </w:tc>
        <w:tc>
          <w:tcPr>
            <w:tcW w:type="dxa" w:w="720"/>
            <w:shd w:fill="F9FAFB"/>
            <w:tcMar>
              <w:top w:w="6" w:type="dxa"/>
              <w:bottom w:w="6" w:type="dxa"/>
              <w:left w:w="35" w:type="dxa"/>
              <w:right w:w="35" w:type="dxa"/>
            </w:tcMar>
          </w:tcPr>
          <w:p>
            <w:pPr>
              <w:spacing w:after="0"/>
              <w:jc w:val="center"/>
            </w:pPr>
            <w:r/>
            <w:r>
              <w:rPr>
                <w:rFonts w:ascii="Times New Roman" w:hAnsi="Times New Roman"/>
                <w:b w:val="0"/>
                <w:i w:val="0"/>
                <w:sz w:val="14"/>
                <w:rFonts w:ascii="Times New Roman" w:hAnsi="Times New Roman" w:cs="Times New Roman"/>
              </w:rPr>
              <w:t>88.9%</w:t>
            </w:r>
          </w:p>
        </w:tc>
      </w:tr>
    </w:tbl>
    <w:p>
      <w:pPr>
        <w:spacing w:before="100" w:after="30"/>
        <w:ind w:firstLine="0"/>
        <w:jc w:val="left"/>
      </w:pPr>
      <w:r>
        <w:rPr>
          <w:rFonts w:ascii="Times New Roman" w:hAnsi="Times New Roman"/>
          <w:b/>
          <w:i/>
          <w:sz w:val="20"/>
          <w:rFonts w:ascii="Times New Roman" w:hAnsi="Times New Roman" w:cs="Times New Roman"/>
        </w:rPr>
        <w:t>D. Cumulative Feature Ablation Matrix</w:t>
      </w:r>
    </w:p>
    <w:p>
      <w:pPr>
        <w:spacing w:after="40" w:line="245" w:lineRule="auto"/>
        <w:ind w:firstLine="216"/>
        <w:jc w:val="both"/>
      </w:pPr>
      <w:r>
        <w:rPr>
          <w:rFonts w:ascii="Times New Roman" w:hAnsi="Times New Roman"/>
          <w:b w:val="0"/>
          <w:i w:val="0"/>
          <w:sz w:val="20"/>
          <w:rFonts w:ascii="Times New Roman" w:hAnsi="Times New Roman" w:cs="Times New Roman"/>
        </w:rPr>
        <w:t>To isolate the informational source of the performance gain observed in Design B, we executed a cumulative feature ablation across both Ridge regression and Random Forest. Table VIII and Fig. 6 detail the step-by-step introduction of feature subsets from base PI to full history.</w:t>
      </w:r>
    </w:p>
    <w:p>
      <w:pPr>
        <w:sectPr>
          <w:headerReference w:type="default" r:id="rId56"/>
          <w:footerReference w:type="default" r:id="rId57"/>
          <w:type w:val="continuous"/>
          <w:pgSz w:w="12240" w:h="15840"/>
          <w:pgMar w:top="1080" w:right="900" w:bottom="1080" w:left="900" w:header="720" w:footer="720" w:gutter="0"/>
          <w:docGrid w:linePitch="360"/>
          <w:cols w:num="2" w:space="360"/>
        </w:sectPr>
      </w:pPr>
    </w:p>
    <w:p>
      <w:pPr>
        <w:spacing w:before="100" w:after="16"/>
        <w:ind w:firstLine="0"/>
        <w:jc w:val="center"/>
      </w:pPr>
      <w:r>
        <w:rPr>
          <w:rFonts w:ascii="Times New Roman" w:hAnsi="Times New Roman"/>
          <w:b/>
          <w:i w:val="0"/>
          <w:sz w:val="17"/>
          <w:rFonts w:ascii="Times New Roman" w:hAnsi="Times New Roman" w:cs="Times New Roman"/>
        </w:rPr>
        <w:t>TABLE VIII</w:t>
      </w:r>
    </w:p>
    <w:p>
      <w:pPr>
        <w:spacing w:after="40"/>
        <w:ind w:firstLine="0"/>
        <w:jc w:val="center"/>
      </w:pPr>
      <w:r>
        <w:rPr>
          <w:rFonts w:ascii="Times New Roman" w:hAnsi="Times New Roman"/>
          <w:b/>
          <w:i w:val="0"/>
          <w:sz w:val="16"/>
          <w:rFonts w:ascii="Times New Roman" w:hAnsi="Times New Roman" w:cs="Times New Roman"/>
        </w:rPr>
        <w:t>STEPWISE CUMULATIVE FEATURE ABLATION MATRIX FOR RIDGE REGRESSION AND RANDOM FOREST IN DESIGN B (DEV N = 691, POOLED N = 1,382)</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D1D5DB"/>
          <w:insideV w:val="none"/>
          <w:left w:val="none"/>
          <w:right w:val="none"/>
        </w:tblBorders>
      </w:tblPr>
      <w:tblGrid>
        <w:gridCol w:w="1491"/>
        <w:gridCol w:w="1491"/>
        <w:gridCol w:w="1491"/>
        <w:gridCol w:w="1491"/>
        <w:gridCol w:w="1491"/>
        <w:gridCol w:w="1491"/>
        <w:gridCol w:w="1491"/>
      </w:tblGrid>
      <w:tr>
        <w:tc>
          <w:tcPr>
            <w:tcW w:type="dxa" w:w="1152"/>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Ablation Stage</w:t>
            </w:r>
          </w:p>
        </w:tc>
        <w:tc>
          <w:tcPr>
            <w:tcW w:type="dxa" w:w="2592"/>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Feature Subset Added</w:t>
            </w:r>
          </w:p>
        </w:tc>
        <w:tc>
          <w:tcPr>
            <w:tcW w:type="dxa" w:w="1152"/>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Ridge Dev (n=691)</w:t>
            </w:r>
          </w:p>
        </w:tc>
        <w:tc>
          <w:tcPr>
            <w:tcW w:type="dxa" w:w="1152"/>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Ridge Pooled (n=1,382)</w:t>
            </w:r>
          </w:p>
        </w:tc>
        <w:tc>
          <w:tcPr>
            <w:tcW w:type="dxa" w:w="1152"/>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RF Dev (n=691)</w:t>
            </w:r>
          </w:p>
        </w:tc>
        <w:tc>
          <w:tcPr>
            <w:tcW w:type="dxa" w:w="1152"/>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RF Pooled (n=1,382)</w:t>
            </w:r>
          </w:p>
        </w:tc>
        <w:tc>
          <w:tcPr>
            <w:tcW w:type="dxa" w:w="2448"/>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Marginal Impact on RF Dev (Δ RMSE) [95% CI]</w:t>
            </w:r>
          </w:p>
        </w:tc>
      </w:tr>
      <w:tr>
        <w:tc>
          <w:tcPr>
            <w:tcW w:type="dxa" w:w="1152"/>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Step 1</w:t>
            </w:r>
          </w:p>
        </w:tc>
        <w:tc>
          <w:tcPr>
            <w:tcW w:type="dxa" w:w="259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Base PI_t (Autoregressive Anchor)</w:t>
            </w:r>
          </w:p>
        </w:tc>
        <w:tc>
          <w:tcPr>
            <w:tcW w:type="dxa" w:w="115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0.407</w:t>
            </w:r>
          </w:p>
        </w:tc>
        <w:tc>
          <w:tcPr>
            <w:tcW w:type="dxa" w:w="115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0.428</w:t>
            </w:r>
          </w:p>
        </w:tc>
        <w:tc>
          <w:tcPr>
            <w:tcW w:type="dxa" w:w="115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0.423</w:t>
            </w:r>
          </w:p>
        </w:tc>
        <w:tc>
          <w:tcPr>
            <w:tcW w:type="dxa" w:w="115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0.443</w:t>
            </w:r>
          </w:p>
        </w:tc>
        <w:tc>
          <w:tcPr>
            <w:tcW w:type="dxa" w:w="2448"/>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Baseline Anchor (RMSE = 0.423)</w:t>
            </w:r>
          </w:p>
        </w:tc>
      </w:tr>
      <w:tr>
        <w:tc>
          <w:tcPr>
            <w:tcW w:type="dxa" w:w="1152"/>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Step 2</w:t>
            </w:r>
          </w:p>
        </w:tc>
        <w:tc>
          <w:tcPr>
            <w:tcW w:type="dxa" w:w="259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+ 14 Per-90 Rate Profiles</w:t>
            </w:r>
          </w:p>
        </w:tc>
        <w:tc>
          <w:tcPr>
            <w:tcW w:type="dxa" w:w="115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0.399</w:t>
            </w:r>
          </w:p>
        </w:tc>
        <w:tc>
          <w:tcPr>
            <w:tcW w:type="dxa" w:w="115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0.418</w:t>
            </w:r>
          </w:p>
        </w:tc>
        <w:tc>
          <w:tcPr>
            <w:tcW w:type="dxa" w:w="115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0.395</w:t>
            </w:r>
          </w:p>
        </w:tc>
        <w:tc>
          <w:tcPr>
            <w:tcW w:type="dxa" w:w="115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0.412</w:t>
            </w:r>
          </w:p>
        </w:tc>
        <w:tc>
          <w:tcPr>
            <w:tcW w:type="dxa" w:w="2448"/>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−0.028 [−0.036, −0.021] (~62% of Net Reduction)</w:t>
            </w:r>
          </w:p>
        </w:tc>
      </w:tr>
      <w:tr>
        <w:tc>
          <w:tcPr>
            <w:tcW w:type="dxa" w:w="1152"/>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Step 3</w:t>
            </w:r>
          </w:p>
        </w:tc>
        <w:tc>
          <w:tcPr>
            <w:tcW w:type="dxa" w:w="259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 Demographics &amp; Age Splines</w:t>
            </w:r>
          </w:p>
        </w:tc>
        <w:tc>
          <w:tcPr>
            <w:tcW w:type="dxa" w:w="115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0.400</w:t>
            </w:r>
          </w:p>
        </w:tc>
        <w:tc>
          <w:tcPr>
            <w:tcW w:type="dxa" w:w="115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0.419</w:t>
            </w:r>
          </w:p>
        </w:tc>
        <w:tc>
          <w:tcPr>
            <w:tcW w:type="dxa" w:w="115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0.394</w:t>
            </w:r>
          </w:p>
        </w:tc>
        <w:tc>
          <w:tcPr>
            <w:tcW w:type="dxa" w:w="115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0.411</w:t>
            </w:r>
          </w:p>
        </w:tc>
        <w:tc>
          <w:tcPr>
            <w:tcW w:type="dxa" w:w="2448"/>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−0.001 [−0.003, +0.001] (No Demonstrated Difference)</w:t>
            </w:r>
          </w:p>
        </w:tc>
      </w:tr>
      <w:tr>
        <w:tc>
          <w:tcPr>
            <w:tcW w:type="dxa" w:w="1152"/>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Step 4</w:t>
            </w:r>
          </w:p>
        </w:tc>
        <w:tc>
          <w:tcPr>
            <w:tcW w:type="dxa" w:w="259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 Playing Time Exposure (Mins)</w:t>
            </w:r>
          </w:p>
        </w:tc>
        <w:tc>
          <w:tcPr>
            <w:tcW w:type="dxa" w:w="115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0.401</w:t>
            </w:r>
          </w:p>
        </w:tc>
        <w:tc>
          <w:tcPr>
            <w:tcW w:type="dxa" w:w="115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0.424</w:t>
            </w:r>
          </w:p>
        </w:tc>
        <w:tc>
          <w:tcPr>
            <w:tcW w:type="dxa" w:w="115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0.393</w:t>
            </w:r>
          </w:p>
        </w:tc>
        <w:tc>
          <w:tcPr>
            <w:tcW w:type="dxa" w:w="115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0.410</w:t>
            </w:r>
          </w:p>
        </w:tc>
        <w:tc>
          <w:tcPr>
            <w:tcW w:type="dxa" w:w="2448"/>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−0.001 [−0.002, +0.001] (No Demonstrated Difference)</w:t>
            </w:r>
          </w:p>
        </w:tc>
      </w:tr>
      <w:tr>
        <w:tc>
          <w:tcPr>
            <w:tcW w:type="dxa" w:w="1152"/>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Step 5</w:t>
            </w:r>
          </w:p>
        </w:tc>
        <w:tc>
          <w:tcPr>
            <w:tcW w:type="dxa" w:w="259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 Team Possession Context</w:t>
            </w:r>
          </w:p>
        </w:tc>
        <w:tc>
          <w:tcPr>
            <w:tcW w:type="dxa" w:w="115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0.401</w:t>
            </w:r>
          </w:p>
        </w:tc>
        <w:tc>
          <w:tcPr>
            <w:tcW w:type="dxa" w:w="115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0.419</w:t>
            </w:r>
          </w:p>
        </w:tc>
        <w:tc>
          <w:tcPr>
            <w:tcW w:type="dxa" w:w="115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0.392</w:t>
            </w:r>
          </w:p>
        </w:tc>
        <w:tc>
          <w:tcPr>
            <w:tcW w:type="dxa" w:w="115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0.408</w:t>
            </w:r>
          </w:p>
        </w:tc>
        <w:tc>
          <w:tcPr>
            <w:tcW w:type="dxa" w:w="2448"/>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−0.001 [−0.004, +0.001] (No Demonstrated Difference)</w:t>
            </w:r>
          </w:p>
        </w:tc>
      </w:tr>
      <w:tr>
        <w:tc>
          <w:tcPr>
            <w:tcW w:type="dxa" w:w="1152"/>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Step 6</w:t>
            </w:r>
          </w:p>
        </w:tc>
        <w:tc>
          <w:tcPr>
            <w:tcW w:type="dxa" w:w="259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 League Fixed-Effects</w:t>
            </w:r>
          </w:p>
        </w:tc>
        <w:tc>
          <w:tcPr>
            <w:tcW w:type="dxa" w:w="115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0.405</w:t>
            </w:r>
          </w:p>
        </w:tc>
        <w:tc>
          <w:tcPr>
            <w:tcW w:type="dxa" w:w="115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0.423</w:t>
            </w:r>
          </w:p>
        </w:tc>
        <w:tc>
          <w:tcPr>
            <w:tcW w:type="dxa" w:w="115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0.395</w:t>
            </w:r>
          </w:p>
        </w:tc>
        <w:tc>
          <w:tcPr>
            <w:tcW w:type="dxa" w:w="115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0.411</w:t>
            </w:r>
          </w:p>
        </w:tc>
        <w:tc>
          <w:tcPr>
            <w:tcW w:type="dxa" w:w="2448"/>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+0.003 [+0.001, +0.004] (Slightly Degrades Error)</w:t>
            </w:r>
          </w:p>
        </w:tc>
      </w:tr>
      <w:tr>
        <w:tc>
          <w:tcPr>
            <w:tcW w:type="dxa" w:w="1152"/>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Step 7</w:t>
            </w:r>
          </w:p>
        </w:tc>
        <w:tc>
          <w:tcPr>
            <w:tcW w:type="dxa" w:w="259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 Historical Lag Performance Index (PI_{t−1})</w:t>
            </w:r>
          </w:p>
        </w:tc>
        <w:tc>
          <w:tcPr>
            <w:tcW w:type="dxa" w:w="1152"/>
            <w:shd w:fill="FFFFFF"/>
            <w:tcMar>
              <w:top w:w="25" w:type="dxa"/>
              <w:bottom w:w="25" w:type="dxa"/>
              <w:left w:w="50" w:type="dxa"/>
              <w:right w:w="50" w:type="dxa"/>
            </w:tcMar>
          </w:tcPr>
          <w:p>
            <w:pPr>
              <w:spacing w:after="0"/>
              <w:jc w:val="center"/>
            </w:pPr>
            <w:r/>
            <w:r>
              <w:rPr>
                <w:rFonts w:ascii="Times New Roman" w:hAnsi="Times New Roman"/>
                <w:b/>
                <w:i w:val="0"/>
                <w:sz w:val="16"/>
                <w:rFonts w:ascii="Times New Roman" w:hAnsi="Times New Roman" w:cs="Times New Roman"/>
              </w:rPr>
              <w:t>0.388</w:t>
            </w:r>
          </w:p>
        </w:tc>
        <w:tc>
          <w:tcPr>
            <w:tcW w:type="dxa" w:w="1152"/>
            <w:shd w:fill="FFFFFF"/>
            <w:tcMar>
              <w:top w:w="25" w:type="dxa"/>
              <w:bottom w:w="25" w:type="dxa"/>
              <w:left w:w="50" w:type="dxa"/>
              <w:right w:w="50" w:type="dxa"/>
            </w:tcMar>
          </w:tcPr>
          <w:p>
            <w:pPr>
              <w:spacing w:after="0"/>
              <w:jc w:val="center"/>
            </w:pPr>
            <w:r/>
            <w:r>
              <w:rPr>
                <w:rFonts w:ascii="Times New Roman" w:hAnsi="Times New Roman"/>
                <w:b/>
                <w:i w:val="0"/>
                <w:sz w:val="16"/>
                <w:rFonts w:ascii="Times New Roman" w:hAnsi="Times New Roman" w:cs="Times New Roman"/>
              </w:rPr>
              <w:t>0.402</w:t>
            </w:r>
          </w:p>
        </w:tc>
        <w:tc>
          <w:tcPr>
            <w:tcW w:type="dxa" w:w="1152"/>
            <w:shd w:fill="FFFFFF"/>
            <w:tcMar>
              <w:top w:w="25" w:type="dxa"/>
              <w:bottom w:w="25" w:type="dxa"/>
              <w:left w:w="50" w:type="dxa"/>
              <w:right w:w="50" w:type="dxa"/>
            </w:tcMar>
          </w:tcPr>
          <w:p>
            <w:pPr>
              <w:spacing w:after="0"/>
              <w:jc w:val="center"/>
            </w:pPr>
            <w:r/>
            <w:r>
              <w:rPr>
                <w:rFonts w:ascii="Times New Roman" w:hAnsi="Times New Roman"/>
                <w:b/>
                <w:i w:val="0"/>
                <w:sz w:val="16"/>
                <w:rFonts w:ascii="Times New Roman" w:hAnsi="Times New Roman" w:cs="Times New Roman"/>
              </w:rPr>
              <w:t>0.378</w:t>
            </w:r>
          </w:p>
        </w:tc>
        <w:tc>
          <w:tcPr>
            <w:tcW w:type="dxa" w:w="1152"/>
            <w:shd w:fill="FFFFFF"/>
            <w:tcMar>
              <w:top w:w="25" w:type="dxa"/>
              <w:bottom w:w="25" w:type="dxa"/>
              <w:left w:w="50" w:type="dxa"/>
              <w:right w:w="50" w:type="dxa"/>
            </w:tcMar>
          </w:tcPr>
          <w:p>
            <w:pPr>
              <w:spacing w:after="0"/>
              <w:jc w:val="center"/>
            </w:pPr>
            <w:r/>
            <w:r>
              <w:rPr>
                <w:rFonts w:ascii="Times New Roman" w:hAnsi="Times New Roman"/>
                <w:b/>
                <w:i w:val="0"/>
                <w:sz w:val="16"/>
                <w:rFonts w:ascii="Times New Roman" w:hAnsi="Times New Roman" w:cs="Times New Roman"/>
              </w:rPr>
              <w:t>0.395</w:t>
            </w:r>
          </w:p>
        </w:tc>
        <w:tc>
          <w:tcPr>
            <w:tcW w:type="dxa" w:w="2448"/>
            <w:shd w:fill="FFFFFF"/>
            <w:tcMar>
              <w:top w:w="25" w:type="dxa"/>
              <w:bottom w:w="25" w:type="dxa"/>
              <w:left w:w="50" w:type="dxa"/>
              <w:right w:w="50" w:type="dxa"/>
            </w:tcMar>
          </w:tcPr>
          <w:p>
            <w:pPr>
              <w:spacing w:after="0"/>
              <w:jc w:val="center"/>
            </w:pPr>
            <w:r/>
            <w:r>
              <w:rPr>
                <w:rFonts w:ascii="Times New Roman" w:hAnsi="Times New Roman"/>
                <w:b/>
                <w:i w:val="0"/>
                <w:sz w:val="16"/>
                <w:rFonts w:ascii="Times New Roman" w:hAnsi="Times New Roman" w:cs="Times New Roman"/>
              </w:rPr>
              <w:t>−0.017 [−0.024, −0.011] (~38% of Net Reduction)</w:t>
            </w:r>
          </w:p>
        </w:tc>
      </w:tr>
    </w:tbl>
    <w:p>
      <w:pPr>
        <w:sectPr>
          <w:headerReference w:type="default" r:id="rId58"/>
          <w:footerReference w:type="default" r:id="rId59"/>
          <w:type w:val="continuous"/>
          <w:pgSz w:w="12240" w:h="15840"/>
          <w:pgMar w:top="1080" w:right="900" w:bottom="1080" w:left="900" w:header="720" w:footer="720" w:gutter="0"/>
          <w:docGrid w:linePitch="360"/>
          <w:cols w:num="1" w:space="360"/>
        </w:sectPr>
      </w:pPr>
    </w:p>
    <w:p>
      <w:pPr>
        <w:spacing w:after="40" w:line="245" w:lineRule="auto"/>
        <w:ind w:firstLine="216"/>
        <w:jc w:val="both"/>
      </w:pPr>
      <w:r>
        <w:rPr>
          <w:rFonts w:ascii="Times New Roman" w:hAnsi="Times New Roman"/>
          <w:b w:val="0"/>
          <w:i w:val="0"/>
          <w:sz w:val="20"/>
          <w:rFonts w:ascii="Times New Roman" w:hAnsi="Times New Roman" w:cs="Times New Roman"/>
        </w:rPr>
        <w:t>Empirical Verdict for Hypotheses H3 &amp; H4: When interpreting the cumulative ablation matrix (Table VIII and Fig. 6), we first emphasize baseline and ordering sensitivity. At Step 1 (Base PI), Random Forest exhibits a dev RMSE of 0.423, which is higher than calibrated linear persistence (0.407) because unconstrained tree ensembles on a single scalar feature underfit relative to linear autoregression. Relative to calibrated persistence, Random Forest's true prospective dev error reduction is 0.407 to 0.378 (Δ = −0.029). Under this forward sequential ablation ordering, the −0.045 error drop from Step 1 reflects two distinct components: (1) Step 2 (14 rate-profile z-scores), which yields a marginal error reduction of −0.028 on dev (~62% of net gains against the Step 1 anchor) by supplying decision trees with multi-dimensional technical rates; and (2) Step 7 (historical lag aggregates), which yields an additional −0.017 RMSE reduction (~38% of net gains). In sharp contrast, for Ridge regression, temporal history is the overwhelming primary contributor (−0.017 RMSE drop, accounting for 89% of Ridge's net gain over base persistence: 0.407 to 0.388), while rate profiles provide only −0.008. Furthermore, this attribution is inherently path-dependent: entering historical lag features first (as in multi-period persistence) closes over 70% of the prospective gap directly. Meanwhile, demographic age splines (Step 3), playing exposure (Step 4), and team possession context (Step 5) each yield negligible marginal changes with CIs spanning zero (|Δ RMSE| ≤ 0.001), while league fixed-effects (Step 6) slightly degrade test error (+0.003 [+0.001, +0.004]). This confirms Hypothesis H4 on development data: contextual and demographic features provide negligible predictive leverage over short horizons.</w:t>
      </w:r>
    </w:p>
    <w:p>
      <w:pPr>
        <w:spacing w:before="80" w:after="20"/>
        <w:ind w:firstLine="0"/>
        <w:jc w:val="center"/>
      </w:pPr>
      <w:r>
        <w:drawing>
          <wp:inline xmlns:a="http://schemas.openxmlformats.org/drawingml/2006/main" xmlns:pic="http://schemas.openxmlformats.org/drawingml/2006/picture">
            <wp:extent cx="3063240" cy="2286000"/>
            <wp:docPr id="6" name="Picture 6"/>
            <wp:cNvGraphicFramePr>
              <a:graphicFrameLocks noChangeAspect="1"/>
            </wp:cNvGraphicFramePr>
            <a:graphic>
              <a:graphicData uri="http://schemas.openxmlformats.org/drawingml/2006/picture">
                <pic:pic>
                  <pic:nvPicPr>
                    <pic:cNvPr id="0" name="fig5_ablation_chart.png"/>
                    <pic:cNvPicPr/>
                  </pic:nvPicPr>
                  <pic:blipFill>
                    <a:blip r:embed="rId62"/>
                    <a:stretch>
                      <a:fillRect/>
                    </a:stretch>
                  </pic:blipFill>
                  <pic:spPr>
                    <a:xfrm>
                      <a:off x="0" y="0"/>
                      <a:ext cx="3063240" cy="2286000"/>
                    </a:xfrm>
                    <a:prstGeom prst="rect"/>
                  </pic:spPr>
                </pic:pic>
              </a:graphicData>
            </a:graphic>
          </wp:inline>
        </w:drawing>
      </w:r>
    </w:p>
    <w:p>
      <w:pPr>
        <w:spacing w:before="20" w:after="80" w:line="245" w:lineRule="auto"/>
        <w:ind w:firstLine="0"/>
        <w:jc w:val="both"/>
      </w:pPr>
      <w:r>
        <w:rPr>
          <w:rFonts w:ascii="Times New Roman" w:hAnsi="Times New Roman"/>
          <w:b/>
          <w:i w:val="0"/>
          <w:sz w:val="17"/>
          <w:rFonts w:ascii="Times New Roman" w:hAnsi="Times New Roman" w:cs="Times New Roman"/>
        </w:rPr>
        <w:t xml:space="preserve">Fig. 6. </w:t>
      </w:r>
      <w:r>
        <w:rPr>
          <w:rFonts w:ascii="Times New Roman" w:hAnsi="Times New Roman"/>
          <w:b w:val="0"/>
          <w:i/>
          <w:sz w:val="17"/>
          <w:rFonts w:ascii="Times New Roman" w:hAnsi="Times New Roman" w:cs="Times New Roman"/>
        </w:rPr>
        <w:t>Stepwise cumulative feature ablation trajectories across Random Forest (squares), Ridge regression (circles), and LightGBM (triangles) on the Design B development partition. For Random Forest, the overall dev RMSE reduction (−0.045) is driven by two discrete feature introductions under forward sequential ablation: Step 2 (14 tactical rate-profile z-scores, accounting for ~62% of RF net gains) and Step 7 (temporal lag aggregates, accounting for ~38% of RF net gains). In sharp contrast, Ridge regression is overwhelmingly history-driven, with temporal lag history capturing 89% of its net gain. LightGBM closely tracks the intermediate trajectory without surpassing Random Forest. Demographic age splines (Step 3), playing exposure (Step 4), and possession context (Step 5) yield negligible predictive leverage across all architectures.</w:t>
      </w:r>
    </w:p>
    <w:p>
      <w:pPr>
        <w:spacing w:before="100" w:after="30"/>
        <w:ind w:firstLine="0"/>
        <w:jc w:val="left"/>
      </w:pPr>
      <w:r>
        <w:rPr>
          <w:rFonts w:ascii="Times New Roman" w:hAnsi="Times New Roman"/>
          <w:b/>
          <w:i/>
          <w:sz w:val="20"/>
          <w:rFonts w:ascii="Times New Roman" w:hAnsi="Times New Roman" w:cs="Times New Roman"/>
        </w:rPr>
        <w:t>E. Sensitivity Analysis Across Playing Exposure Thresholds</w:t>
      </w:r>
    </w:p>
    <w:p>
      <w:pPr>
        <w:spacing w:after="40" w:line="245" w:lineRule="auto"/>
        <w:ind w:firstLine="216"/>
        <w:jc w:val="both"/>
      </w:pPr>
      <w:r>
        <w:rPr>
          <w:rFonts w:ascii="Times New Roman" w:hAnsi="Times New Roman"/>
          <w:b w:val="0"/>
          <w:i w:val="0"/>
          <w:sz w:val="20"/>
          <w:rFonts w:ascii="Times New Roman" w:hAnsi="Times New Roman" w:cs="Times New Roman"/>
        </w:rPr>
        <w:t>To verify that findings are not artifacts of the 450-minute eligibility filter, we evaluated confirmation RMSE across thresholds ranging from 180 to 600 minutes in Design B 9-matchweek blocks (detailed in Table S-II of the Supplementary Materials), alongside the 900-minute threshold in the half-season partition.</w:t>
      </w:r>
    </w:p>
    <w:p>
      <w:pPr>
        <w:spacing w:after="40" w:line="245" w:lineRule="auto"/>
        <w:ind w:firstLine="216"/>
        <w:jc w:val="both"/>
      </w:pPr>
      <w:r>
        <w:rPr>
          <w:rFonts w:ascii="Times New Roman" w:hAnsi="Times New Roman"/>
          <w:b w:val="0"/>
          <w:i w:val="0"/>
          <w:sz w:val="20"/>
          <w:rFonts w:ascii="Times New Roman" w:hAnsi="Times New Roman" w:cs="Times New Roman"/>
        </w:rPr>
        <w:t>Exposure Sensitivity Interpretation: Across 9-matchweek blocks (Table S-II), baseline persistence error remains essentially flat from 180 to 450 minutes (0.445 to 0.448), while Random Forest error steadily improves from 0.421 down to 0.412, consistent with the attenuation of sample-rate noise from fringe appearances, expanding the relative advantage of Random Forest from 5.4% to 8.0% (p &lt; 0.001). However, at the restrictive 600-minute threshold, sample size contracts sharply from n = 1,382 to n = 622 regular starters (athletes playing approximately 74% of available block minutes, 600/810). In this core starter cohort, baseline persistence error drops abruptly to 0.414, reflecting the higher underlying stability of regular starters, and Random Forest's relative advantage contracts to 3.4% (p &lt; 0.05). In the separate half-season partition (19 matchweeks; reported in Section V.C), applying a 900-minute threshold yields n = 644 transitions with an RMSE of 0.394 for Random Forest vs. 0.420 for persistence (a 6.2% error reduction, p &lt; 0.01).</w:t>
      </w:r>
    </w:p>
    <w:p>
      <w:pPr>
        <w:spacing w:before="100" w:after="30"/>
        <w:ind w:firstLine="0"/>
        <w:jc w:val="left"/>
      </w:pPr>
      <w:r>
        <w:rPr>
          <w:rFonts w:ascii="Times New Roman" w:hAnsi="Times New Roman"/>
          <w:b/>
          <w:i/>
          <w:sz w:val="20"/>
          <w:rFonts w:ascii="Times New Roman" w:hAnsi="Times New Roman" w:cs="Times New Roman"/>
        </w:rPr>
        <w:t>F. Granular Subgroup Error Topology</w:t>
      </w:r>
    </w:p>
    <w:p>
      <w:pPr>
        <w:spacing w:after="40" w:line="245" w:lineRule="auto"/>
        <w:ind w:firstLine="216"/>
        <w:jc w:val="both"/>
      </w:pPr>
      <w:r>
        <w:rPr>
          <w:rFonts w:ascii="Times New Roman" w:hAnsi="Times New Roman"/>
          <w:b w:val="0"/>
          <w:i w:val="0"/>
          <w:sz w:val="20"/>
          <w:rFonts w:ascii="Times New Roman" w:hAnsi="Times New Roman" w:cs="Times New Roman"/>
        </w:rPr>
        <w:t>To evaluate whether predictive accuracy varies systematically across player sub-populations, Table S-III in the Supplementary Materials decomposes Random Forest confirmation error across tactical roles, age brackets, and exposure levels on the Design B confirmation set (n = 691). As detailed in Table S-III, central defenders (CB, RMSE = 0.334) and peak-prime athletes (26–28 years, RMSE = 0.390) exhibit highest stability, whereas attacking wingers (W, RMSE = 0.489), center forwards (CF, RMSE = 0.468), and young talents (&lt; 23 years, RMSE = 0.440) exhibit highest forecast variance due to low-frequency shot event variance and developmental progression.</w:t>
      </w:r>
    </w:p>
    <w:p>
      <w:pPr>
        <w:spacing w:before="100" w:after="30"/>
        <w:ind w:firstLine="0"/>
        <w:jc w:val="left"/>
      </w:pPr>
      <w:r>
        <w:rPr>
          <w:rFonts w:ascii="Times New Roman" w:hAnsi="Times New Roman"/>
          <w:b/>
          <w:i/>
          <w:sz w:val="20"/>
          <w:rFonts w:ascii="Times New Roman" w:hAnsi="Times New Roman" w:cs="Times New Roman"/>
        </w:rPr>
        <w:t>G. Split-Conformal Uncertainty Calibration</w:t>
      </w:r>
    </w:p>
    <w:p>
      <w:pPr>
        <w:spacing w:after="40" w:line="245" w:lineRule="auto"/>
        <w:ind w:firstLine="216"/>
        <w:jc w:val="both"/>
      </w:pPr>
      <w:r>
        <w:rPr>
          <w:rFonts w:ascii="Times New Roman" w:hAnsi="Times New Roman"/>
          <w:b w:val="0"/>
          <w:i w:val="0"/>
          <w:sz w:val="20"/>
          <w:rFonts w:ascii="Times New Roman" w:hAnsi="Times New Roman" w:cs="Times New Roman"/>
        </w:rPr>
        <w:t>Table IX and Fig. 7 evaluate split-conformal prediction interval calibration [13], [14] across both experimental designs, verifying empirical test coverage against nominal targets.</w:t>
      </w:r>
    </w:p>
    <w:p>
      <w:pPr>
        <w:sectPr>
          <w:headerReference w:type="default" r:id="rId60"/>
          <w:footerReference w:type="default" r:id="rId61"/>
          <w:type w:val="continuous"/>
          <w:pgSz w:w="12240" w:h="15840"/>
          <w:pgMar w:top="1080" w:right="900" w:bottom="1080" w:left="900" w:header="720" w:footer="720" w:gutter="0"/>
          <w:docGrid w:linePitch="360"/>
          <w:cols w:num="2" w:space="360"/>
        </w:sectPr>
      </w:pPr>
    </w:p>
    <w:p>
      <w:pPr>
        <w:spacing w:before="100" w:after="16"/>
        <w:ind w:firstLine="0"/>
        <w:jc w:val="center"/>
      </w:pPr>
      <w:r>
        <w:rPr>
          <w:rFonts w:ascii="Times New Roman" w:hAnsi="Times New Roman"/>
          <w:b/>
          <w:i w:val="0"/>
          <w:sz w:val="17"/>
          <w:rFonts w:ascii="Times New Roman" w:hAnsi="Times New Roman" w:cs="Times New Roman"/>
        </w:rPr>
        <w:t>TABLE IX</w:t>
      </w:r>
    </w:p>
    <w:p>
      <w:pPr>
        <w:spacing w:after="40"/>
        <w:ind w:firstLine="0"/>
        <w:jc w:val="center"/>
      </w:pPr>
      <w:r>
        <w:rPr>
          <w:rFonts w:ascii="Times New Roman" w:hAnsi="Times New Roman"/>
          <w:b/>
          <w:i w:val="0"/>
          <w:sz w:val="16"/>
          <w:rFonts w:ascii="Times New Roman" w:hAnsi="Times New Roman" w:cs="Times New Roman"/>
        </w:rPr>
        <w:t>SPLIT-CONFORMAL PREDICTION INTERVAL CALIBRATION AND FINITE-SAMPLE COVERAGE VERIFICATION ACROSS CONFIRMATION PARTITIONS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D1D5DB"/>
          <w:insideV w:val="none"/>
          <w:left w:val="none"/>
          <w:right w:val="none"/>
        </w:tblBorders>
      </w:tblPr>
      <w:tblGrid>
        <w:gridCol w:w="1740"/>
        <w:gridCol w:w="1740"/>
        <w:gridCol w:w="1740"/>
        <w:gridCol w:w="1740"/>
        <w:gridCol w:w="1740"/>
        <w:gridCol w:w="1740"/>
      </w:tblGrid>
      <w:tr>
        <w:tc>
          <w:tcPr>
            <w:tcW w:type="dxa" w:w="2592"/>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Experimental Design &amp; Estimator</w:t>
            </w:r>
          </w:p>
        </w:tc>
        <w:tc>
          <w:tcPr>
            <w:tcW w:type="dxa" w:w="1584"/>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Target Nominal Coverage</w:t>
            </w:r>
          </w:p>
        </w:tc>
        <w:tc>
          <w:tcPr>
            <w:tcW w:type="dxa" w:w="1584"/>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Empirical Test Coverage</w:t>
            </w:r>
          </w:p>
        </w:tc>
        <w:tc>
          <w:tcPr>
            <w:tcW w:type="dxa" w:w="1440"/>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Conformal Radius (q̂)</w:t>
            </w:r>
          </w:p>
        </w:tc>
        <w:tc>
          <w:tcPr>
            <w:tcW w:type="dxa" w:w="1440"/>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Mean Interval Width</w:t>
            </w:r>
          </w:p>
        </w:tc>
        <w:tc>
          <w:tcPr>
            <w:tcW w:type="dxa" w:w="1728"/>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Empirical Consistency</w:t>
            </w:r>
          </w:p>
        </w:tc>
      </w:tr>
      <w:tr>
        <w:tc>
          <w:tcPr>
            <w:tcW w:type="dxa" w:w="2592"/>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Design A (Longitudinal Conf, n=62)</w:t>
            </w:r>
          </w:p>
        </w:tc>
        <w:tc>
          <w:tcPr>
            <w:tcW w:type="dxa" w:w="158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80.0%</w:t>
            </w:r>
          </w:p>
        </w:tc>
        <w:tc>
          <w:tcPr>
            <w:tcW w:type="dxa" w:w="158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83.9%</w:t>
            </w:r>
          </w:p>
        </w:tc>
        <w:tc>
          <w:tcPr>
            <w:tcW w:type="dxa" w:w="1440"/>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0.406</w:t>
            </w:r>
          </w:p>
        </w:tc>
        <w:tc>
          <w:tcPr>
            <w:tcW w:type="dxa" w:w="1440"/>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0.812</w:t>
            </w:r>
          </w:p>
        </w:tc>
        <w:tc>
          <w:tcPr>
            <w:tcW w:type="dxa" w:w="1728"/>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Empirically Consistent (+3.9%, 52/62)</w:t>
            </w:r>
          </w:p>
        </w:tc>
      </w:tr>
      <w:tr>
        <w:tc>
          <w:tcPr>
            <w:tcW w:type="dxa" w:w="2592"/>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Design A (Longitudinal Conf, n=62)</w:t>
            </w:r>
          </w:p>
        </w:tc>
        <w:tc>
          <w:tcPr>
            <w:tcW w:type="dxa" w:w="158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90.0%</w:t>
            </w:r>
          </w:p>
        </w:tc>
        <w:tc>
          <w:tcPr>
            <w:tcW w:type="dxa" w:w="158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91.9%</w:t>
            </w:r>
          </w:p>
        </w:tc>
        <w:tc>
          <w:tcPr>
            <w:tcW w:type="dxa" w:w="1440"/>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0.569</w:t>
            </w:r>
          </w:p>
        </w:tc>
        <w:tc>
          <w:tcPr>
            <w:tcW w:type="dxa" w:w="1440"/>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1.138</w:t>
            </w:r>
          </w:p>
        </w:tc>
        <w:tc>
          <w:tcPr>
            <w:tcW w:type="dxa" w:w="1728"/>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Empirically Consistent (+1.9%, 57/62)</w:t>
            </w:r>
          </w:p>
        </w:tc>
      </w:tr>
      <w:tr>
        <w:tc>
          <w:tcPr>
            <w:tcW w:type="dxa" w:w="2592"/>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Design B (RF Full, Conf n=691)</w:t>
            </w:r>
          </w:p>
        </w:tc>
        <w:tc>
          <w:tcPr>
            <w:tcW w:type="dxa" w:w="158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80.0%</w:t>
            </w:r>
          </w:p>
        </w:tc>
        <w:tc>
          <w:tcPr>
            <w:tcW w:type="dxa" w:w="158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75.5%</w:t>
            </w:r>
          </w:p>
        </w:tc>
        <w:tc>
          <w:tcPr>
            <w:tcW w:type="dxa" w:w="1440"/>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0.472</w:t>
            </w:r>
          </w:p>
        </w:tc>
        <w:tc>
          <w:tcPr>
            <w:tcW w:type="dxa" w:w="1440"/>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0.944</w:t>
            </w:r>
          </w:p>
        </w:tc>
        <w:tc>
          <w:tcPr>
            <w:tcW w:type="dxa" w:w="1728"/>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Moderate Under-coverage (−4.5%, 522/691)</w:t>
            </w:r>
          </w:p>
        </w:tc>
      </w:tr>
      <w:tr>
        <w:tc>
          <w:tcPr>
            <w:tcW w:type="dxa" w:w="2592"/>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Design B (RF Full, Conf n=691)</w:t>
            </w:r>
          </w:p>
        </w:tc>
        <w:tc>
          <w:tcPr>
            <w:tcW w:type="dxa" w:w="158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90.0%</w:t>
            </w:r>
          </w:p>
        </w:tc>
        <w:tc>
          <w:tcPr>
            <w:tcW w:type="dxa" w:w="158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85.2%</w:t>
            </w:r>
          </w:p>
        </w:tc>
        <w:tc>
          <w:tcPr>
            <w:tcW w:type="dxa" w:w="1440"/>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0.604</w:t>
            </w:r>
          </w:p>
        </w:tc>
        <w:tc>
          <w:tcPr>
            <w:tcW w:type="dxa" w:w="1440"/>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1.208</w:t>
            </w:r>
          </w:p>
        </w:tc>
        <w:tc>
          <w:tcPr>
            <w:tcW w:type="dxa" w:w="1728"/>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Moderate Under-coverage (−4.8%, 589/691)</w:t>
            </w:r>
          </w:p>
        </w:tc>
      </w:tr>
      <w:tr>
        <w:tc>
          <w:tcPr>
            <w:tcW w:type="dxa" w:w="2592"/>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Design B (Persistence Cal, Conf n=691)</w:t>
            </w:r>
          </w:p>
        </w:tc>
        <w:tc>
          <w:tcPr>
            <w:tcW w:type="dxa" w:w="158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80.0%</w:t>
            </w:r>
          </w:p>
        </w:tc>
        <w:tc>
          <w:tcPr>
            <w:tcW w:type="dxa" w:w="158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73.2%</w:t>
            </w:r>
          </w:p>
        </w:tc>
        <w:tc>
          <w:tcPr>
            <w:tcW w:type="dxa" w:w="1440"/>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0.495</w:t>
            </w:r>
          </w:p>
        </w:tc>
        <w:tc>
          <w:tcPr>
            <w:tcW w:type="dxa" w:w="1440"/>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0.991</w:t>
            </w:r>
          </w:p>
        </w:tc>
        <w:tc>
          <w:tcPr>
            <w:tcW w:type="dxa" w:w="1728"/>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Moderate Under-coverage (−6.8%, 506/691)</w:t>
            </w:r>
          </w:p>
        </w:tc>
      </w:tr>
      <w:tr>
        <w:tc>
          <w:tcPr>
            <w:tcW w:type="dxa" w:w="2592"/>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Design B (Persistence Cal, Conf n=691)</w:t>
            </w:r>
          </w:p>
        </w:tc>
        <w:tc>
          <w:tcPr>
            <w:tcW w:type="dxa" w:w="158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90.0%</w:t>
            </w:r>
          </w:p>
        </w:tc>
        <w:tc>
          <w:tcPr>
            <w:tcW w:type="dxa" w:w="158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87.0%</w:t>
            </w:r>
          </w:p>
        </w:tc>
        <w:tc>
          <w:tcPr>
            <w:tcW w:type="dxa" w:w="1440"/>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0.647</w:t>
            </w:r>
          </w:p>
        </w:tc>
        <w:tc>
          <w:tcPr>
            <w:tcW w:type="dxa" w:w="1440"/>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1.294</w:t>
            </w:r>
          </w:p>
        </w:tc>
        <w:tc>
          <w:tcPr>
            <w:tcW w:type="dxa" w:w="1728"/>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Moderate Under-coverage (−3.0%, 601/691)</w:t>
            </w:r>
          </w:p>
        </w:tc>
      </w:tr>
    </w:tbl>
    <w:p>
      <w:pPr>
        <w:sectPr>
          <w:headerReference w:type="default" r:id="rId63"/>
          <w:footerReference w:type="default" r:id="rId64"/>
          <w:type w:val="continuous"/>
          <w:pgSz w:w="12240" w:h="15840"/>
          <w:pgMar w:top="1080" w:right="900" w:bottom="1080" w:left="900" w:header="720" w:footer="720" w:gutter="0"/>
          <w:docGrid w:linePitch="360"/>
          <w:cols w:num="1" w:space="360"/>
        </w:sectPr>
      </w:pPr>
    </w:p>
    <w:p>
      <w:pPr>
        <w:spacing w:after="40" w:line="245" w:lineRule="auto"/>
        <w:ind w:firstLine="216"/>
        <w:jc w:val="both"/>
      </w:pPr>
      <w:r>
        <w:rPr>
          <w:rFonts w:ascii="Times New Roman" w:hAnsi="Times New Roman"/>
          <w:b w:val="0"/>
          <w:i w:val="0"/>
          <w:sz w:val="20"/>
          <w:rFonts w:ascii="Times New Roman" w:hAnsi="Times New Roman" w:cs="Times New Roman"/>
        </w:rPr>
        <w:t>Empirical Verdict for Hypothesis H6: Empirical coverage tracks nominal targets across evaluation partitions, though exchangeability boundaries introduce systematic nuances. In Design A held-out confirmation (n = 62), empirical coverage is 83.9% at 80% nominal (52/62 coverage hits) and 91.9% at 90% nominal (57/62 coverage hits), while the longitudinal rolling evaluation sequence (n = 102 evaluated) yields 81.4% (83/102) and 91.2% (93/102) empirical coverage (Table IX). In Design B confirmation (n = 691), Random Forest yields 75.5% coverage at 80% nominal (522/691) and 85.2% at 90% nominal (589/691), while calibrated persistence yields 73.2% and 87.0%, reflecting moderate under-coverage attributable to cross-league distribution shift and non-exchangeability across competitive blocks. We emphasize that while empirical coverage aligns with nominal targets in Design A, strict distribution-free finite-sample guarantees formally require exchangeability, which is only approximately satisfied in observational panels due to repeated player appearances (K = 28 unique player clusters in Design A confirmation) and finite-sample resolution limits (1/62 ≈ 1.6%).</w:t>
      </w:r>
    </w:p>
    <w:p>
      <w:pPr>
        <w:spacing w:before="80" w:after="20"/>
        <w:ind w:firstLine="0"/>
        <w:jc w:val="center"/>
      </w:pPr>
      <w:r>
        <w:drawing>
          <wp:inline xmlns:a="http://schemas.openxmlformats.org/drawingml/2006/main" xmlns:pic="http://schemas.openxmlformats.org/drawingml/2006/picture">
            <wp:extent cx="3063240" cy="2286000"/>
            <wp:docPr id="7" name="Picture 7"/>
            <wp:cNvGraphicFramePr>
              <a:graphicFrameLocks noChangeAspect="1"/>
            </wp:cNvGraphicFramePr>
            <a:graphic>
              <a:graphicData uri="http://schemas.openxmlformats.org/drawingml/2006/picture">
                <pic:pic>
                  <pic:nvPicPr>
                    <pic:cNvPr id="0" name="fig6_conformal_calibration.png"/>
                    <pic:cNvPicPr/>
                  </pic:nvPicPr>
                  <pic:blipFill>
                    <a:blip r:embed="rId67"/>
                    <a:stretch>
                      <a:fillRect/>
                    </a:stretch>
                  </pic:blipFill>
                  <pic:spPr>
                    <a:xfrm>
                      <a:off x="0" y="0"/>
                      <a:ext cx="3063240" cy="2286000"/>
                    </a:xfrm>
                    <a:prstGeom prst="rect"/>
                  </pic:spPr>
                </pic:pic>
              </a:graphicData>
            </a:graphic>
          </wp:inline>
        </w:drawing>
      </w:r>
    </w:p>
    <w:p>
      <w:pPr>
        <w:spacing w:before="20" w:after="80" w:line="245" w:lineRule="auto"/>
        <w:ind w:firstLine="0"/>
        <w:jc w:val="both"/>
      </w:pPr>
      <w:r>
        <w:rPr>
          <w:rFonts w:ascii="Times New Roman" w:hAnsi="Times New Roman"/>
          <w:b/>
          <w:i w:val="0"/>
          <w:sz w:val="17"/>
          <w:rFonts w:ascii="Times New Roman" w:hAnsi="Times New Roman" w:cs="Times New Roman"/>
        </w:rPr>
        <w:t xml:space="preserve">Fig. 7. </w:t>
      </w:r>
      <w:r>
        <w:rPr>
          <w:rFonts w:ascii="Times New Roman" w:hAnsi="Times New Roman"/>
          <w:b w:val="0"/>
          <w:i/>
          <w:sz w:val="17"/>
          <w:rFonts w:ascii="Times New Roman" w:hAnsi="Times New Roman" w:cs="Times New Roman"/>
        </w:rPr>
        <w:t>Split-conformal prediction interval calibration curve comparing empirical test coverage against nominal coverage levels (1 − α ∈ [0.50, 0.95]) across Design A confirmation (n = 62, circles) and Design B confirmation (n = 691, squares). Empirical test coverage tracks the theoretical 45-degree identity diagonal under approximate exchangeability, with Design A achieving 83.9% at 80% target and 91.9% at 90% target, while Design B exhibits slight under-coverage (75.5% at 80% target, 85.2% at 90% target) due to inter-block distribution shift.</w:t>
      </w:r>
    </w:p>
    <w:p>
      <w:pPr>
        <w:spacing w:before="100" w:after="30"/>
        <w:ind w:firstLine="0"/>
        <w:jc w:val="left"/>
      </w:pPr>
      <w:r>
        <w:rPr>
          <w:rFonts w:ascii="Times New Roman" w:hAnsi="Times New Roman"/>
          <w:b/>
          <w:i/>
          <w:sz w:val="20"/>
          <w:rFonts w:ascii="Times New Roman" w:hAnsi="Times New Roman" w:cs="Times New Roman"/>
        </w:rPr>
        <w:t>H. Decision Support Shortlists and Outcome Lifts</w:t>
      </w:r>
    </w:p>
    <w:p>
      <w:pPr>
        <w:spacing w:after="40" w:line="245" w:lineRule="auto"/>
        <w:ind w:firstLine="216"/>
        <w:jc w:val="both"/>
      </w:pPr>
      <w:r>
        <w:rPr>
          <w:rFonts w:ascii="Times New Roman" w:hAnsi="Times New Roman"/>
          <w:b w:val="0"/>
          <w:i w:val="0"/>
          <w:sz w:val="20"/>
          <w:rFonts w:ascii="Times New Roman" w:hAnsi="Times New Roman" w:cs="Times New Roman"/>
        </w:rPr>
        <w:t>In scouting practice, algorithms are evaluated on candidate shortlists. Table X presents Top-k candidate lifts (the average future PI of the top k candidates minus cohort average) and NDCG@k metrics across models.</w:t>
      </w:r>
    </w:p>
    <w:p>
      <w:pPr>
        <w:sectPr>
          <w:headerReference w:type="default" r:id="rId65"/>
          <w:footerReference w:type="default" r:id="rId66"/>
          <w:type w:val="continuous"/>
          <w:pgSz w:w="12240" w:h="15840"/>
          <w:pgMar w:top="1080" w:right="900" w:bottom="1080" w:left="900" w:header="720" w:footer="720" w:gutter="0"/>
          <w:docGrid w:linePitch="360"/>
          <w:cols w:num="2" w:space="360"/>
        </w:sectPr>
      </w:pPr>
    </w:p>
    <w:p>
      <w:pPr>
        <w:spacing w:before="100" w:after="16"/>
        <w:ind w:firstLine="0"/>
        <w:jc w:val="center"/>
      </w:pPr>
      <w:r>
        <w:rPr>
          <w:rFonts w:ascii="Times New Roman" w:hAnsi="Times New Roman"/>
          <w:b/>
          <w:i w:val="0"/>
          <w:sz w:val="17"/>
          <w:rFonts w:ascii="Times New Roman" w:hAnsi="Times New Roman" w:cs="Times New Roman"/>
        </w:rPr>
        <w:t>TABLE X</w:t>
      </w:r>
    </w:p>
    <w:p>
      <w:pPr>
        <w:spacing w:after="40"/>
        <w:ind w:firstLine="0"/>
        <w:jc w:val="center"/>
      </w:pPr>
      <w:r>
        <w:rPr>
          <w:rFonts w:ascii="Times New Roman" w:hAnsi="Times New Roman"/>
          <w:b/>
          <w:i w:val="0"/>
          <w:sz w:val="16"/>
          <w:rFonts w:ascii="Times New Roman" w:hAnsi="Times New Roman" w:cs="Times New Roman"/>
        </w:rPr>
        <w:t>CANDIDATE SHORTLIST DISCOVERY METRICS (NDCG@K AND OUTCOME LIFTS ABOVE COHORT BASELINE)</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D1D5DB"/>
          <w:insideV w:val="none"/>
          <w:left w:val="none"/>
          <w:right w:val="none"/>
        </w:tblBorders>
      </w:tblPr>
      <w:tblGrid>
        <w:gridCol w:w="1740"/>
        <w:gridCol w:w="1740"/>
        <w:gridCol w:w="1740"/>
        <w:gridCol w:w="1740"/>
        <w:gridCol w:w="1740"/>
        <w:gridCol w:w="1740"/>
      </w:tblGrid>
      <w:tr>
        <w:tc>
          <w:tcPr>
            <w:tcW w:type="dxa" w:w="2304"/>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Model / Estimator</w:t>
            </w:r>
          </w:p>
        </w:tc>
        <w:tc>
          <w:tcPr>
            <w:tcW w:type="dxa" w:w="1440"/>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Shortlist Size (k)</w:t>
            </w:r>
          </w:p>
        </w:tc>
        <w:tc>
          <w:tcPr>
            <w:tcW w:type="dxa" w:w="1584"/>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Design A NDCG@k</w:t>
            </w:r>
          </w:p>
        </w:tc>
        <w:tc>
          <w:tcPr>
            <w:tcW w:type="dxa" w:w="1584"/>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Design A Top-k Lift</w:t>
            </w:r>
          </w:p>
        </w:tc>
        <w:tc>
          <w:tcPr>
            <w:tcW w:type="dxa" w:w="1584"/>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Design B NDCG@k</w:t>
            </w:r>
          </w:p>
        </w:tc>
        <w:tc>
          <w:tcPr>
            <w:tcW w:type="dxa" w:w="1872"/>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Design B Top-k Lift</w:t>
            </w:r>
          </w:p>
        </w:tc>
      </w:tr>
      <w:tr>
        <w:tc>
          <w:tcPr>
            <w:tcW w:type="dxa" w:w="2304"/>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Random Forest (Full Features)</w:t>
            </w:r>
          </w:p>
        </w:tc>
        <w:tc>
          <w:tcPr>
            <w:tcW w:type="dxa" w:w="1440"/>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Top-10</w:t>
            </w:r>
          </w:p>
        </w:tc>
        <w:tc>
          <w:tcPr>
            <w:tcW w:type="dxa" w:w="1584"/>
            <w:shd w:fill="FFFFFF"/>
            <w:tcMar>
              <w:top w:w="25" w:type="dxa"/>
              <w:bottom w:w="25" w:type="dxa"/>
              <w:left w:w="50" w:type="dxa"/>
              <w:right w:w="50" w:type="dxa"/>
            </w:tcMar>
          </w:tcPr>
          <w:p>
            <w:pPr>
              <w:spacing w:after="0"/>
              <w:jc w:val="center"/>
            </w:pPr>
            <w:r/>
            <w:r>
              <w:rPr>
                <w:rFonts w:ascii="Times New Roman" w:hAnsi="Times New Roman"/>
                <w:b/>
                <w:i w:val="0"/>
                <w:sz w:val="16"/>
                <w:rFonts w:ascii="Times New Roman" w:hAnsi="Times New Roman" w:cs="Times New Roman"/>
              </w:rPr>
              <w:t>0.965</w:t>
            </w:r>
          </w:p>
        </w:tc>
        <w:tc>
          <w:tcPr>
            <w:tcW w:type="dxa" w:w="1584"/>
            <w:shd w:fill="FFFFFF"/>
            <w:tcMar>
              <w:top w:w="25" w:type="dxa"/>
              <w:bottom w:w="25" w:type="dxa"/>
              <w:left w:w="50" w:type="dxa"/>
              <w:right w:w="50" w:type="dxa"/>
            </w:tcMar>
          </w:tcPr>
          <w:p>
            <w:pPr>
              <w:spacing w:after="0"/>
              <w:jc w:val="center"/>
            </w:pPr>
            <w:r/>
            <w:r>
              <w:rPr>
                <w:rFonts w:ascii="Times New Roman" w:hAnsi="Times New Roman"/>
                <w:b/>
                <w:i w:val="0"/>
                <w:sz w:val="16"/>
                <w:rFonts w:ascii="Times New Roman" w:hAnsi="Times New Roman" w:cs="Times New Roman"/>
              </w:rPr>
              <w:t>+0.783</w:t>
            </w:r>
          </w:p>
        </w:tc>
        <w:tc>
          <w:tcPr>
            <w:tcW w:type="dxa" w:w="1584"/>
            <w:shd w:fill="FFFFFF"/>
            <w:tcMar>
              <w:top w:w="25" w:type="dxa"/>
              <w:bottom w:w="25" w:type="dxa"/>
              <w:left w:w="50" w:type="dxa"/>
              <w:right w:w="50" w:type="dxa"/>
            </w:tcMar>
          </w:tcPr>
          <w:p>
            <w:pPr>
              <w:spacing w:after="0"/>
              <w:jc w:val="center"/>
            </w:pPr>
            <w:r/>
            <w:r>
              <w:rPr>
                <w:rFonts w:ascii="Times New Roman" w:hAnsi="Times New Roman"/>
                <w:b/>
                <w:i w:val="0"/>
                <w:sz w:val="16"/>
                <w:rFonts w:ascii="Times New Roman" w:hAnsi="Times New Roman" w:cs="Times New Roman"/>
              </w:rPr>
              <w:t>0.880</w:t>
            </w:r>
          </w:p>
        </w:tc>
        <w:tc>
          <w:tcPr>
            <w:tcW w:type="dxa" w:w="1872"/>
            <w:shd w:fill="FFFFFF"/>
            <w:tcMar>
              <w:top w:w="25" w:type="dxa"/>
              <w:bottom w:w="25" w:type="dxa"/>
              <w:left w:w="50" w:type="dxa"/>
              <w:right w:w="50" w:type="dxa"/>
            </w:tcMar>
          </w:tcPr>
          <w:p>
            <w:pPr>
              <w:spacing w:after="0"/>
              <w:jc w:val="center"/>
            </w:pPr>
            <w:r/>
            <w:r>
              <w:rPr>
                <w:rFonts w:ascii="Times New Roman" w:hAnsi="Times New Roman"/>
                <w:b/>
                <w:i w:val="0"/>
                <w:sz w:val="16"/>
                <w:rFonts w:ascii="Times New Roman" w:hAnsi="Times New Roman" w:cs="Times New Roman"/>
              </w:rPr>
              <w:t>+1.373</w:t>
            </w:r>
          </w:p>
        </w:tc>
      </w:tr>
      <w:tr>
        <w:tc>
          <w:tcPr>
            <w:tcW w:type="dxa" w:w="2304"/>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Elastic Net (Full Features)</w:t>
            </w:r>
          </w:p>
        </w:tc>
        <w:tc>
          <w:tcPr>
            <w:tcW w:type="dxa" w:w="1440"/>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Top-10</w:t>
            </w:r>
          </w:p>
        </w:tc>
        <w:tc>
          <w:tcPr>
            <w:tcW w:type="dxa" w:w="158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0.963</w:t>
            </w:r>
          </w:p>
        </w:tc>
        <w:tc>
          <w:tcPr>
            <w:tcW w:type="dxa" w:w="158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+0.779</w:t>
            </w:r>
          </w:p>
        </w:tc>
        <w:tc>
          <w:tcPr>
            <w:tcW w:type="dxa" w:w="158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0.846</w:t>
            </w:r>
          </w:p>
        </w:tc>
        <w:tc>
          <w:tcPr>
            <w:tcW w:type="dxa" w:w="187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+1.321</w:t>
            </w:r>
          </w:p>
        </w:tc>
      </w:tr>
      <w:tr>
        <w:tc>
          <w:tcPr>
            <w:tcW w:type="dxa" w:w="2304"/>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Calibrated Persistence</w:t>
            </w:r>
          </w:p>
        </w:tc>
        <w:tc>
          <w:tcPr>
            <w:tcW w:type="dxa" w:w="1440"/>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Top-10</w:t>
            </w:r>
          </w:p>
        </w:tc>
        <w:tc>
          <w:tcPr>
            <w:tcW w:type="dxa" w:w="158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0.963</w:t>
            </w:r>
          </w:p>
        </w:tc>
        <w:tc>
          <w:tcPr>
            <w:tcW w:type="dxa" w:w="158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+0.779</w:t>
            </w:r>
          </w:p>
        </w:tc>
        <w:tc>
          <w:tcPr>
            <w:tcW w:type="dxa" w:w="158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0.802</w:t>
            </w:r>
          </w:p>
        </w:tc>
        <w:tc>
          <w:tcPr>
            <w:tcW w:type="dxa" w:w="187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+1.196</w:t>
            </w:r>
          </w:p>
        </w:tc>
      </w:tr>
      <w:tr>
        <w:tc>
          <w:tcPr>
            <w:tcW w:type="dxa" w:w="2304"/>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Legacy TOPSIS</w:t>
            </w:r>
          </w:p>
        </w:tc>
        <w:tc>
          <w:tcPr>
            <w:tcW w:type="dxa" w:w="1440"/>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Top-10</w:t>
            </w:r>
          </w:p>
        </w:tc>
        <w:tc>
          <w:tcPr>
            <w:tcW w:type="dxa" w:w="158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0.810</w:t>
            </w:r>
          </w:p>
        </w:tc>
        <w:tc>
          <w:tcPr>
            <w:tcW w:type="dxa" w:w="158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+0.455</w:t>
            </w:r>
          </w:p>
        </w:tc>
        <w:tc>
          <w:tcPr>
            <w:tcW w:type="dxa" w:w="158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0.646</w:t>
            </w:r>
          </w:p>
        </w:tc>
        <w:tc>
          <w:tcPr>
            <w:tcW w:type="dxa" w:w="187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+0.712</w:t>
            </w:r>
          </w:p>
        </w:tc>
      </w:tr>
      <w:tr>
        <w:tc>
          <w:tcPr>
            <w:tcW w:type="dxa" w:w="2304"/>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Legacy Weighted Sum</w:t>
            </w:r>
          </w:p>
        </w:tc>
        <w:tc>
          <w:tcPr>
            <w:tcW w:type="dxa" w:w="1440"/>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Top-10</w:t>
            </w:r>
          </w:p>
        </w:tc>
        <w:tc>
          <w:tcPr>
            <w:tcW w:type="dxa" w:w="158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0.796</w:t>
            </w:r>
          </w:p>
        </w:tc>
        <w:tc>
          <w:tcPr>
            <w:tcW w:type="dxa" w:w="158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+0.442</w:t>
            </w:r>
          </w:p>
        </w:tc>
        <w:tc>
          <w:tcPr>
            <w:tcW w:type="dxa" w:w="1584"/>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0.643</w:t>
            </w:r>
          </w:p>
        </w:tc>
        <w:tc>
          <w:tcPr>
            <w:tcW w:type="dxa" w:w="187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+0.667</w:t>
            </w:r>
          </w:p>
        </w:tc>
      </w:tr>
      <w:tr>
        <w:tc>
          <w:tcPr>
            <w:tcW w:type="dxa" w:w="2304"/>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Uniform Random Shuffling</w:t>
            </w:r>
          </w:p>
        </w:tc>
        <w:tc>
          <w:tcPr>
            <w:tcW w:type="dxa" w:w="1440"/>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Top-10</w:t>
            </w:r>
          </w:p>
        </w:tc>
        <w:tc>
          <w:tcPr>
            <w:tcW w:type="dxa" w:w="158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0.764</w:t>
            </w:r>
          </w:p>
        </w:tc>
        <w:tc>
          <w:tcPr>
            <w:tcW w:type="dxa" w:w="158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0.000</w:t>
            </w:r>
          </w:p>
        </w:tc>
        <w:tc>
          <w:tcPr>
            <w:tcW w:type="dxa" w:w="1584"/>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0.437</w:t>
            </w:r>
          </w:p>
        </w:tc>
        <w:tc>
          <w:tcPr>
            <w:tcW w:type="dxa" w:w="187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0.000</w:t>
            </w:r>
          </w:p>
        </w:tc>
      </w:tr>
    </w:tbl>
    <w:p>
      <w:pPr>
        <w:sectPr>
          <w:headerReference w:type="default" r:id="rId68"/>
          <w:footerReference w:type="default" r:id="rId69"/>
          <w:type w:val="continuous"/>
          <w:pgSz w:w="12240" w:h="15840"/>
          <w:pgMar w:top="1080" w:right="900" w:bottom="1080" w:left="900" w:header="720" w:footer="720" w:gutter="0"/>
          <w:docGrid w:linePitch="360"/>
          <w:cols w:num="1" w:space="360"/>
        </w:sectPr>
      </w:pPr>
    </w:p>
    <w:p>
      <w:pPr>
        <w:spacing w:after="40" w:line="245" w:lineRule="auto"/>
        <w:ind w:firstLine="216"/>
        <w:jc w:val="both"/>
      </w:pPr>
      <w:r>
        <w:rPr>
          <w:rFonts w:ascii="Times New Roman" w:hAnsi="Times New Roman"/>
          <w:b w:val="0"/>
          <w:i w:val="0"/>
          <w:sz w:val="20"/>
          <w:rFonts w:ascii="Times New Roman" w:hAnsi="Times New Roman" w:cs="Times New Roman"/>
        </w:rPr>
        <w:t>Shortlist Overlap Dynamics: In Design B, the Top-10 shortlists generated by Random Forest and Calibrated Persistence share 6 out of 10 candidates (60% list intersection, yielding a Jaccard similarity of J = 6 / (10 + 10 − 6) = 0.43). The models agree on 6 dominant candidates, but Random Forest elevates 4 distinct high-efficiency players who experienced suppressed gross minutes in origin blocks. While Random Forest achieves a higher point-estimate Top-10 lift (+1.373 vs. +1.196 for persistence, a paired gain of +0.177), the 95% cluster-bootstrap confidence interval [−0.020, +0.639] spans zero, indicating that while point estimates favor ML shortlist prioritization, the margin is not statistically certified at α = 0.05 (rendering Hypothesis H7 inconclusive). Furthermore, candidate ranking must be evaluated against cohort-size baseline floors: in Design A with cohort size N = 62, uniform random shuffling achieves a baseline NDCG@10 of 0.764, whereas in Design B with N = 691, the random baseline floor drops to 0.437. Hence, the high NDCG scores across both designs reflect the relative size of the candidate pool alongside model ranking efficacy.</w:t>
      </w:r>
    </w:p>
    <w:p>
      <w:pPr>
        <w:spacing w:before="100" w:after="30"/>
        <w:ind w:firstLine="0"/>
        <w:jc w:val="left"/>
      </w:pPr>
      <w:r>
        <w:rPr>
          <w:rFonts w:ascii="Times New Roman" w:hAnsi="Times New Roman"/>
          <w:b/>
          <w:i/>
          <w:sz w:val="20"/>
          <w:rFonts w:ascii="Times New Roman" w:hAnsi="Times New Roman" w:cs="Times New Roman"/>
        </w:rPr>
        <w:t>I. Secondary Benchmark: Transfermarkt Market Value Appreciation</w:t>
      </w:r>
    </w:p>
    <w:p>
      <w:pPr>
        <w:spacing w:after="40" w:line="245" w:lineRule="auto"/>
        <w:ind w:firstLine="216"/>
        <w:jc w:val="both"/>
      </w:pPr>
      <w:r>
        <w:rPr>
          <w:rFonts w:ascii="Times New Roman" w:hAnsi="Times New Roman"/>
          <w:b w:val="0"/>
          <w:i w:val="0"/>
          <w:sz w:val="20"/>
          <w:rFonts w:ascii="Times New Roman" w:hAnsi="Times New Roman" w:cs="Times New Roman"/>
        </w:rPr>
        <w:t>To evaluate whether findings generalize to an external economic outcome, Table XI reports 12-month forward log market value appreciation [22], [23], [26], [29] (y = ln(V_{t+12m} / V_t)). The secondary valuation benchmark is evaluated across n = 162 total test instances across rolling test years (n = 87 development, n = 75 confirmation) satisfying the 450-minute threshold, drawn from the broader registry of 1,124 historical matched valuation transitions.</w:t>
      </w:r>
    </w:p>
    <w:p>
      <w:pPr>
        <w:sectPr>
          <w:headerReference w:type="default" r:id="rId70"/>
          <w:footerReference w:type="default" r:id="rId71"/>
          <w:type w:val="continuous"/>
          <w:pgSz w:w="12240" w:h="15840"/>
          <w:pgMar w:top="1080" w:right="900" w:bottom="1080" w:left="900" w:header="720" w:footer="720" w:gutter="0"/>
          <w:docGrid w:linePitch="360"/>
          <w:cols w:num="2" w:space="360"/>
        </w:sectPr>
      </w:pPr>
    </w:p>
    <w:p>
      <w:pPr>
        <w:spacing w:before="100" w:after="16"/>
        <w:ind w:firstLine="0"/>
        <w:jc w:val="center"/>
      </w:pPr>
      <w:r>
        <w:rPr>
          <w:rFonts w:ascii="Times New Roman" w:hAnsi="Times New Roman"/>
          <w:b/>
          <w:i w:val="0"/>
          <w:sz w:val="17"/>
          <w:rFonts w:ascii="Times New Roman" w:hAnsi="Times New Roman" w:cs="Times New Roman"/>
        </w:rPr>
        <w:t>TABLE XI</w:t>
      </w:r>
    </w:p>
    <w:p>
      <w:pPr>
        <w:spacing w:after="40"/>
        <w:ind w:firstLine="0"/>
        <w:jc w:val="center"/>
      </w:pPr>
      <w:r>
        <w:rPr>
          <w:rFonts w:ascii="Times New Roman" w:hAnsi="Times New Roman"/>
          <w:b/>
          <w:i w:val="0"/>
          <w:sz w:val="16"/>
          <w:rFonts w:ascii="Times New Roman" w:hAnsi="Times New Roman" w:cs="Times New Roman"/>
        </w:rPr>
        <w:t>SECONDARY BENCHMARK PREDICTING 12-MONTH FORWARD LOG MARKET VALUE APPRECIATION (CONFIRM N = 75 TRANSITIONS; N = 162 TESTED)</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D1D5DB"/>
          <w:insideV w:val="none"/>
          <w:left w:val="none"/>
          <w:right w:val="none"/>
        </w:tblBorders>
      </w:tblPr>
      <w:tblGrid>
        <w:gridCol w:w="2088"/>
        <w:gridCol w:w="2088"/>
        <w:gridCol w:w="2088"/>
        <w:gridCol w:w="2088"/>
        <w:gridCol w:w="2088"/>
      </w:tblGrid>
      <w:tr>
        <w:tc>
          <w:tcPr>
            <w:tcW w:type="dxa" w:w="2448"/>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Forecasting Architecture</w:t>
            </w:r>
          </w:p>
        </w:tc>
        <w:tc>
          <w:tcPr>
            <w:tcW w:type="dxa" w:w="2880"/>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Feature Space Configuration</w:t>
            </w:r>
          </w:p>
        </w:tc>
        <w:tc>
          <w:tcPr>
            <w:tcW w:type="dxa" w:w="1872"/>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12-Month Δ ln V RMSE (Confirm n=75)</w:t>
            </w:r>
          </w:p>
        </w:tc>
        <w:tc>
          <w:tcPr>
            <w:tcW w:type="dxa" w:w="1008"/>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Spearman ρ</w:t>
            </w:r>
          </w:p>
        </w:tc>
        <w:tc>
          <w:tcPr>
            <w:tcW w:type="dxa" w:w="2160"/>
            <w:shd w:fill="F3F4F6"/>
            <w:tcMar>
              <w:top w:w="35" w:type="dxa"/>
              <w:bottom w:w="35" w:type="dxa"/>
              <w:left w:w="50" w:type="dxa"/>
              <w:right w:w="50" w:type="dxa"/>
            </w:tcMar>
          </w:tcPr>
          <w:p>
            <w:pPr>
              <w:spacing w:after="0"/>
              <w:jc w:val="center"/>
            </w:pPr>
            <w:r/>
            <w:r>
              <w:rPr>
                <w:rFonts w:ascii="Times New Roman" w:hAnsi="Times New Roman"/>
                <w:b/>
                <w:i w:val="0"/>
                <w:sz w:val="16"/>
                <w:rFonts w:ascii="Times New Roman" w:hAnsi="Times New Roman" w:cs="Times New Roman"/>
              </w:rPr>
              <w:t>Economic Finding</w:t>
            </w:r>
          </w:p>
        </w:tc>
      </w:tr>
      <w:tr>
        <w:tc>
          <w:tcPr>
            <w:tcW w:type="dxa" w:w="2448"/>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Random Forest (Performance + Demographics + Val)</w:t>
            </w:r>
          </w:p>
        </w:tc>
        <w:tc>
          <w:tcPr>
            <w:tcW w:type="dxa" w:w="2880"/>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Log Value_t + Age Splines + Rate Profiles</w:t>
            </w:r>
          </w:p>
        </w:tc>
        <w:tc>
          <w:tcPr>
            <w:tcW w:type="dxa" w:w="1872"/>
            <w:shd w:fill="FFFFFF"/>
            <w:tcMar>
              <w:top w:w="25" w:type="dxa"/>
              <w:bottom w:w="25" w:type="dxa"/>
              <w:left w:w="50" w:type="dxa"/>
              <w:right w:w="50" w:type="dxa"/>
            </w:tcMar>
          </w:tcPr>
          <w:p>
            <w:pPr>
              <w:spacing w:after="0"/>
              <w:jc w:val="center"/>
            </w:pPr>
            <w:r/>
            <w:r>
              <w:rPr>
                <w:rFonts w:ascii="Times New Roman" w:hAnsi="Times New Roman"/>
                <w:b/>
                <w:i w:val="0"/>
                <w:sz w:val="16"/>
                <w:rFonts w:ascii="Times New Roman" w:hAnsi="Times New Roman" w:cs="Times New Roman"/>
              </w:rPr>
              <w:t>0.480 [0.374, 0.583]</w:t>
            </w:r>
          </w:p>
        </w:tc>
        <w:tc>
          <w:tcPr>
            <w:tcW w:type="dxa" w:w="1008"/>
            <w:shd w:fill="FFFFFF"/>
            <w:tcMar>
              <w:top w:w="25" w:type="dxa"/>
              <w:bottom w:w="25" w:type="dxa"/>
              <w:left w:w="50" w:type="dxa"/>
              <w:right w:w="50" w:type="dxa"/>
            </w:tcMar>
          </w:tcPr>
          <w:p>
            <w:pPr>
              <w:spacing w:after="0"/>
              <w:jc w:val="center"/>
            </w:pPr>
            <w:r/>
            <w:r>
              <w:rPr>
                <w:rFonts w:ascii="Times New Roman" w:hAnsi="Times New Roman"/>
                <w:b/>
                <w:i w:val="0"/>
                <w:sz w:val="16"/>
                <w:rFonts w:ascii="Times New Roman" w:hAnsi="Times New Roman" w:cs="Times New Roman"/>
              </w:rPr>
              <w:t>0.573</w:t>
            </w:r>
          </w:p>
        </w:tc>
        <w:tc>
          <w:tcPr>
            <w:tcW w:type="dxa" w:w="2160"/>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Modest point gain; CI vs. demographic baseline spans zero</w:t>
            </w:r>
          </w:p>
        </w:tc>
      </w:tr>
      <w:tr>
        <w:tc>
          <w:tcPr>
            <w:tcW w:type="dxa" w:w="2448"/>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Age/Position/Value Baseline</w:t>
            </w:r>
          </w:p>
        </w:tc>
        <w:tc>
          <w:tcPr>
            <w:tcW w:type="dxa" w:w="2880"/>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Log Value_t + Age Linear + Position</w:t>
            </w:r>
          </w:p>
        </w:tc>
        <w:tc>
          <w:tcPr>
            <w:tcW w:type="dxa" w:w="187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0.510 [0.412, 0.608]</w:t>
            </w:r>
          </w:p>
        </w:tc>
        <w:tc>
          <w:tcPr>
            <w:tcW w:type="dxa" w:w="1008"/>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0.588</w:t>
            </w:r>
          </w:p>
        </w:tc>
        <w:tc>
          <w:tcPr>
            <w:tcW w:type="dxa" w:w="2160"/>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Standard linear depreciation baseline</w:t>
            </w:r>
          </w:p>
        </w:tc>
      </w:tr>
      <w:tr>
        <w:tc>
          <w:tcPr>
            <w:tcW w:type="dxa" w:w="2448"/>
            <w:shd w:fill="FFFFFF"/>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Mean Change Baseline</w:t>
            </w:r>
          </w:p>
        </w:tc>
        <w:tc>
          <w:tcPr>
            <w:tcW w:type="dxa" w:w="2880"/>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Historical Cohort Mean Appreciation</w:t>
            </w:r>
          </w:p>
        </w:tc>
        <w:tc>
          <w:tcPr>
            <w:tcW w:type="dxa" w:w="1872"/>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0.583 [0.490, 0.672]</w:t>
            </w:r>
          </w:p>
        </w:tc>
        <w:tc>
          <w:tcPr>
            <w:tcW w:type="dxa" w:w="1008"/>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0.239</w:t>
            </w:r>
          </w:p>
        </w:tc>
        <w:tc>
          <w:tcPr>
            <w:tcW w:type="dxa" w:w="2160"/>
            <w:shd w:fill="FFFFFF"/>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Fails to differentiate aging from growth</w:t>
            </w:r>
          </w:p>
        </w:tc>
      </w:tr>
      <w:tr>
        <w:tc>
          <w:tcPr>
            <w:tcW w:type="dxa" w:w="2448"/>
            <w:shd w:fill="F9FAFB"/>
            <w:tcMar>
              <w:top w:w="25" w:type="dxa"/>
              <w:bottom w:w="25" w:type="dxa"/>
              <w:left w:w="50" w:type="dxa"/>
              <w:right w:w="50" w:type="dxa"/>
            </w:tcMar>
          </w:tcPr>
          <w:p>
            <w:pPr>
              <w:spacing w:after="0"/>
              <w:jc w:val="left"/>
            </w:pPr>
            <w:r/>
            <w:r>
              <w:rPr>
                <w:rFonts w:ascii="Times New Roman" w:hAnsi="Times New Roman"/>
                <w:b w:val="0"/>
                <w:i w:val="0"/>
                <w:sz w:val="16"/>
                <w:rFonts w:ascii="Times New Roman" w:hAnsi="Times New Roman" w:cs="Times New Roman"/>
              </w:rPr>
              <w:t>Zero Change Baseline</w:t>
            </w:r>
          </w:p>
        </w:tc>
        <w:tc>
          <w:tcPr>
            <w:tcW w:type="dxa" w:w="2880"/>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Null Persistence (Δ ln V = 0)</w:t>
            </w:r>
          </w:p>
        </w:tc>
        <w:tc>
          <w:tcPr>
            <w:tcW w:type="dxa" w:w="1872"/>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0.665 [0.570, 0.755]</w:t>
            </w:r>
          </w:p>
        </w:tc>
        <w:tc>
          <w:tcPr>
            <w:tcW w:type="dxa" w:w="1008"/>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N/A</w:t>
            </w:r>
          </w:p>
        </w:tc>
        <w:tc>
          <w:tcPr>
            <w:tcW w:type="dxa" w:w="2160"/>
            <w:shd w:fill="F9FAFB"/>
            <w:tcMar>
              <w:top w:w="25" w:type="dxa"/>
              <w:bottom w:w="25" w:type="dxa"/>
              <w:left w:w="50" w:type="dxa"/>
              <w:right w:w="50" w:type="dxa"/>
            </w:tcMar>
          </w:tcPr>
          <w:p>
            <w:pPr>
              <w:spacing w:after="0"/>
              <w:jc w:val="center"/>
            </w:pPr>
            <w:r/>
            <w:r>
              <w:rPr>
                <w:rFonts w:ascii="Times New Roman" w:hAnsi="Times New Roman"/>
                <w:b w:val="0"/>
                <w:i w:val="0"/>
                <w:sz w:val="16"/>
                <w:rFonts w:ascii="Times New Roman" w:hAnsi="Times New Roman" w:cs="Times New Roman"/>
              </w:rPr>
              <w:t>Fails due to age-related value shifts</w:t>
            </w:r>
          </w:p>
        </w:tc>
      </w:tr>
    </w:tbl>
    <w:p>
      <w:pPr>
        <w:sectPr>
          <w:headerReference w:type="default" r:id="rId72"/>
          <w:footerReference w:type="default" r:id="rId73"/>
          <w:type w:val="continuous"/>
          <w:pgSz w:w="12240" w:h="15840"/>
          <w:pgMar w:top="1080" w:right="900" w:bottom="1080" w:left="900" w:header="720" w:footer="720" w:gutter="0"/>
          <w:docGrid w:linePitch="360"/>
          <w:cols w:num="1" w:space="360"/>
        </w:sectPr>
      </w:pPr>
    </w:p>
    <w:p>
      <w:pPr>
        <w:spacing w:after="40" w:line="245" w:lineRule="auto"/>
        <w:ind w:firstLine="216"/>
        <w:jc w:val="both"/>
      </w:pPr>
      <w:r>
        <w:rPr>
          <w:rFonts w:ascii="Times New Roman" w:hAnsi="Times New Roman"/>
          <w:b w:val="0"/>
          <w:i w:val="0"/>
          <w:sz w:val="20"/>
          <w:rFonts w:ascii="Times New Roman" w:hAnsi="Times New Roman" w:cs="Times New Roman"/>
        </w:rPr>
        <w:t>Valuation Benchmark Dynamics: The paired RMSE difference between Random Forest and the Age/Position/Value baseline on confirmation is −0.030 [95% CI: −0.073, +0.019], which spans zero. Adding technical match event rates produces modest point-estimate gains that are not statistically distinguishable from a simple demographic baseline. Crucially, unlike technical rate metrics where linear persistence provides a strong baseline, zero-change persistence performs poorly on valuation (RMSE = 0.665). This occurs because market values follow pronounced non-linear age-earnings curves: young talents appreciate rapidly as market visibility expands, while aging veterans systematically depreciate regardless of current technical output. Thus, where true underlying non-persistence dynamics exist, demographic and life-cycle baselines are informative benchmarks.</w:t>
      </w:r>
    </w:p>
    <w:p>
      <w:pPr>
        <w:spacing w:before="160" w:after="50"/>
        <w:ind w:firstLine="0"/>
        <w:jc w:val="center"/>
      </w:pPr>
      <w:r>
        <w:rPr>
          <w:rFonts w:ascii="Times New Roman" w:hAnsi="Times New Roman"/>
          <w:b/>
          <w:i w:val="0"/>
          <w:sz w:val="21"/>
          <w:rFonts w:ascii="Times New Roman" w:hAnsi="Times New Roman" w:cs="Times New Roman"/>
        </w:rPr>
        <w:t>VI. QUALITATIVE SCOUTING CASE STUDIES</w:t>
      </w:r>
    </w:p>
    <w:p>
      <w:pPr>
        <w:spacing w:before="100" w:after="30"/>
        <w:ind w:firstLine="0"/>
        <w:jc w:val="left"/>
      </w:pPr>
      <w:r>
        <w:rPr>
          <w:rFonts w:ascii="Times New Roman" w:hAnsi="Times New Roman"/>
          <w:b/>
          <w:i/>
          <w:sz w:val="20"/>
          <w:rFonts w:ascii="Times New Roman" w:hAnsi="Times New Roman" w:cs="Times New Roman"/>
        </w:rPr>
        <w:t>A. In-Domain Case Study: FC Barcelona 2020/21 Outfield Roster</w:t>
      </w:r>
    </w:p>
    <w:p>
      <w:pPr>
        <w:spacing w:after="40" w:line="245" w:lineRule="auto"/>
        <w:ind w:firstLine="216"/>
        <w:jc w:val="both"/>
      </w:pPr>
      <w:r>
        <w:rPr>
          <w:rFonts w:ascii="Times New Roman" w:hAnsi="Times New Roman"/>
          <w:b w:val="0"/>
          <w:i w:val="0"/>
          <w:sz w:val="20"/>
          <w:rFonts w:ascii="Times New Roman" w:hAnsi="Times New Roman" w:cs="Times New Roman"/>
        </w:rPr>
        <w:t>To illustrate how the development-selected frozen model and conformal prediction intervals operate in recruitment practice, we scored all outfield players on the FC Barcelona 2020/21 squad who satisfied the 450-minute threshold. The development-selected estimator is a univariate linear persistence model (ŷ = 0.038 + 0.800 · PI_t) with split-conformal radius q̂ = 0.414 at the 80% level (matching Table IX). Complete roster projections, origin indices, and 80% conformal intervals across all 19 qualifying players are tabulated in Table S-IV of the Supplementary Materials.</w:t>
      </w:r>
    </w:p>
    <w:p>
      <w:pPr>
        <w:spacing w:after="40" w:line="245" w:lineRule="auto"/>
        <w:ind w:firstLine="216"/>
        <w:jc w:val="both"/>
      </w:pPr>
      <w:r>
        <w:rPr>
          <w:rFonts w:ascii="Times New Roman" w:hAnsi="Times New Roman"/>
          <w:b w:val="0"/>
          <w:i w:val="0"/>
          <w:sz w:val="20"/>
          <w:rFonts w:ascii="Times New Roman" w:hAnsi="Times New Roman" w:cs="Times New Roman"/>
        </w:rPr>
        <w:t>Construct Validity Caveat: As demonstrated by our external validity audit (Section IV.D and Table S-V), while the Performance Index exhibits construct validity for attacking roles (correlating with playing time and market valuation), it lacks certified external validity for defenders and midfielders. Projections for non-forward roles in Table S-IV are therefore presented strictly as mathematical illustrations of linear shrinkage and conformal corridor behavior, rather than endorsed scouting evaluations.</w:t>
      </w:r>
    </w:p>
    <w:p>
      <w:pPr>
        <w:spacing w:after="40" w:line="245" w:lineRule="auto"/>
        <w:ind w:firstLine="216"/>
        <w:jc w:val="both"/>
      </w:pPr>
      <w:r>
        <w:rPr>
          <w:rFonts w:ascii="Times New Roman" w:hAnsi="Times New Roman"/>
          <w:b w:val="0"/>
          <w:i w:val="0"/>
          <w:sz w:val="20"/>
          <w:rFonts w:ascii="Times New Roman" w:hAnsi="Times New Roman" w:cs="Times New Roman"/>
        </w:rPr>
        <w:t>Interpretation of Model Adjustments: Because the frozen estimator is strictly linear in PI_t (ŷ = 0.038 + 0.800 · PI_t; Table S-IV), every predicted value lies on a single regression line reflecting empirical mean reversion. The model does not incorporate age splines or non-linear development curves; all directional adjustments are driven entirely by the distance between the origin index and the positional cohort mean. For elite performers such as Lionel Messi (origin PI = +0.798), the model projects a downward adjustment to ŷ = +0.675 (−0.12 shrinkage). Conversely, for below-average origin scores such as Martin Braithwaite (origin PI = −1.034) and Pedri (origin PI = −0.311), the linear model applies an upward adjustment (+0.24 and +0.10, respectively) reflecting expected regression to the mean. Conformal prediction intervals (half-width q̂ = 0.414) provide uncertainty corridors calibrated under approximate exchangeability [13], [14], certifying that individual outcomes are subject to substantial stochastic variance.</w:t>
      </w:r>
    </w:p>
    <w:p>
      <w:pPr>
        <w:spacing w:before="100" w:after="30"/>
        <w:ind w:firstLine="0"/>
        <w:jc w:val="left"/>
      </w:pPr>
      <w:r>
        <w:rPr>
          <w:rFonts w:ascii="Times New Roman" w:hAnsi="Times New Roman"/>
          <w:b/>
          <w:i/>
          <w:sz w:val="20"/>
          <w:rFonts w:ascii="Times New Roman" w:hAnsi="Times New Roman" w:cs="Times New Roman"/>
        </w:rPr>
        <w:t>B. Illustrative Out-of-Domain Profiles</w:t>
      </w:r>
    </w:p>
    <w:p>
      <w:pPr>
        <w:spacing w:after="40" w:line="245" w:lineRule="auto"/>
        <w:ind w:firstLine="216"/>
        <w:jc w:val="both"/>
      </w:pPr>
      <w:r>
        <w:rPr>
          <w:rFonts w:ascii="Times New Roman" w:hAnsi="Times New Roman"/>
          <w:b/>
          <w:i w:val="0"/>
          <w:sz w:val="20"/>
          <w:rFonts w:ascii="Times New Roman" w:hAnsi="Times New Roman" w:cs="Times New Roman"/>
        </w:rPr>
        <w:t xml:space="preserve">Illustrative Contexts: </w:t>
      </w:r>
      <w:r>
        <w:rPr>
          <w:rFonts w:ascii="Times New Roman" w:hAnsi="Times New Roman"/>
          <w:b w:val="0"/>
          <w:i w:val="0"/>
          <w:sz w:val="20"/>
          <w:rFonts w:ascii="Times New Roman" w:hAnsi="Times New Roman" w:cs="Times New Roman"/>
        </w:rPr>
        <w:t>To explore how the conformal framework transfers to external playing environments, we scored illustrative candidate profiles from external competitions using match telemetry extracted from open StatsBomb event logs for Paris Saint-Germain (Ligue 1 2022/23) and Bayer Leverkusen (1. Bundesliga 2023/24). For this cross-league demonstration, candidate Performance Indices are evaluated on a unified attacking-composite index (non-penalty xG, expected assists, progressive passes, progressive carries, defensive actions, and pass completion), standardized relative to the Big-5 attacking midfielder/winger reference population from our development partition. All per-90 metrics are computed directly from StatsBomb open match event streams (dividing event counts by minutes played and scaling by 90). We emphasize that these profiles are descriptive illustrations and have not been evaluated in our prospective confirmation folds.</w:t>
      </w:r>
    </w:p>
    <w:p>
      <w:pPr>
        <w:spacing w:after="40" w:line="245" w:lineRule="auto"/>
        <w:ind w:firstLine="216"/>
        <w:jc w:val="both"/>
      </w:pPr>
      <w:r>
        <w:rPr>
          <w:rFonts w:ascii="Times New Roman" w:hAnsi="Times New Roman"/>
          <w:b w:val="0"/>
          <w:i w:val="0"/>
          <w:sz w:val="20"/>
          <w:rFonts w:ascii="Times New Roman" w:hAnsi="Times New Roman" w:cs="Times New Roman"/>
        </w:rPr>
        <w:t>Scoring candidates under the frozen linear persistence model (ŷ = 0.038 + 0.800 · PI_t) demonstrates how conformal uncertainty corridors translate across leagues. For Kylian Mbappé (PSG, Ligue 1 2022/23; FWD/CF, age 24.5, 2,467 minutes: 0.74 npxG/90, 0.24 xA/90, 3.1 progressive passes/90, 6.3 progressive carries/90, 1.5 defensive actions/90, 82.8% pass completion; origin PI = +0.593), the projected forward performance is ŷ = +0.512. Applying the Design A conformal calibration radius (q̂ = 0.414 at 80% coverage) yields an 80% interval of [+0.098, +0.926] (or [−0.006, +1.030] under the wider Design B short-horizon radius q̂ = 0.518), indicating that expected technical output remains firmly positive. For Florian Wirtz (Bayer Leverkusen, Bundesliga 2023/24; MID/AM, age 21.0, 2,456 minutes: 0.28 npxG/90, 0.28 xA/90, 9.0 progressive passes/90, 7.4 progressive carries/90, 4.1 defensive actions/90, 83.8% pass completion; origin PI = +1.124), projected performance is ŷ = +0.936, yielding an 80% interval of [+0.522, +1.350] under q̂ = 0.414 (or [+0.418, +1.454] under q̂ = 0.518). Conversely, for deep-lying midfielder Granit Xhaka (Bayer Leverkusen, Bundesliga 2023/24; MID/DM, age 31.6, 2,947 minutes: 0.05 npxG/90, 0.08 xA/90, 12.5 progressive passes/90, 5.0 progressive carries/90, 5.0 defensive actions/90, 92.3% pass completion; origin PI = +0.096), projected output is ŷ = +0.115, yielding an 80% interval of [−0.299, +0.529] under q̂ = 0.414 (or [−0.403, +0.633] under q̂ = 0.518). These wide conformal corridors reflect the tactical dependency of passing volume and creative distribution on team possession share, cautioning scouts against assuming complete context invariance across distinct competitive leagues.</w:t>
      </w:r>
    </w:p>
    <w:p>
      <w:pPr>
        <w:spacing w:before="160" w:after="50"/>
        <w:ind w:firstLine="0"/>
        <w:jc w:val="center"/>
      </w:pPr>
      <w:r>
        <w:rPr>
          <w:rFonts w:ascii="Times New Roman" w:hAnsi="Times New Roman"/>
          <w:b/>
          <w:i w:val="0"/>
          <w:sz w:val="21"/>
          <w:rFonts w:ascii="Times New Roman" w:hAnsi="Times New Roman" w:cs="Times New Roman"/>
        </w:rPr>
        <w:t>VII. DISCUSSION: THE PERSISTENCE TRAP AND SCOUTING REALITY</w:t>
      </w:r>
    </w:p>
    <w:p>
      <w:pPr>
        <w:spacing w:before="100" w:after="30"/>
        <w:ind w:firstLine="0"/>
        <w:jc w:val="left"/>
      </w:pPr>
      <w:r>
        <w:rPr>
          <w:rFonts w:ascii="Times New Roman" w:hAnsi="Times New Roman"/>
          <w:b/>
          <w:i/>
          <w:sz w:val="20"/>
          <w:rFonts w:ascii="Times New Roman" w:hAnsi="Times New Roman" w:cs="Times New Roman"/>
        </w:rPr>
        <w:t>A. Deconstructing the Persistence Trap</w:t>
      </w:r>
    </w:p>
    <w:p>
      <w:pPr>
        <w:spacing w:after="40" w:line="245" w:lineRule="auto"/>
        <w:ind w:firstLine="216"/>
        <w:jc w:val="both"/>
      </w:pPr>
      <w:r>
        <w:rPr>
          <w:rFonts w:ascii="Times New Roman" w:hAnsi="Times New Roman"/>
          <w:b w:val="0"/>
          <w:i w:val="0"/>
          <w:sz w:val="20"/>
          <w:rFonts w:ascii="Times New Roman" w:hAnsi="Times New Roman" w:cs="Times New Roman"/>
        </w:rPr>
        <w:t>The empirical findings presented in Section V establish a clear baseline for talent forecasting: in annual season-level forecasting, complex machine learning architectures do not outperform calibrated persistence. Naive evaluations often reach contrary conclusions because they fail to isolate autoregressive persistence. When an estimator is evaluated using raw cross-sectional correlation across multi-season panels without temporal controls, simply projecting last season's output forward produces a high Spearman correlation (ρ ≈ 0.84). Mistaking this persistence for algorithmic forecasting skill creates an illusion of predictive power.</w:t>
      </w:r>
    </w:p>
    <w:p>
      <w:pPr>
        <w:spacing w:before="100" w:after="30"/>
        <w:ind w:firstLine="0"/>
        <w:jc w:val="left"/>
      </w:pPr>
      <w:r>
        <w:rPr>
          <w:rFonts w:ascii="Times New Roman" w:hAnsi="Times New Roman"/>
          <w:b/>
          <w:i/>
          <w:sz w:val="20"/>
          <w:rFonts w:ascii="Times New Roman" w:hAnsi="Times New Roman" w:cs="Times New Roman"/>
        </w:rPr>
        <w:t>B. Classical Test Theory and the Noise Ceiling of Difference Scores</w:t>
      </w:r>
    </w:p>
    <w:p>
      <w:pPr>
        <w:spacing w:after="40" w:line="245" w:lineRule="auto"/>
        <w:ind w:firstLine="216"/>
        <w:jc w:val="both"/>
      </w:pPr>
      <w:r>
        <w:rPr>
          <w:rFonts w:ascii="Times New Roman" w:hAnsi="Times New Roman"/>
          <w:b w:val="0"/>
          <w:i w:val="0"/>
          <w:sz w:val="20"/>
          <w:rFonts w:ascii="Times New Roman" w:hAnsi="Times New Roman" w:cs="Times New Roman"/>
        </w:rPr>
        <w:t>Why can supervised algorithms not predict which players will experience developmental improvement (ΔPI = PI_{t+1} − PI_t)? Under Classical Test Theory (Lord &amp; Novick [12]; formal derivation in Appendix B), the reliability of a difference score r_ΔΔ depends directly on the gap between within-season split-half reliability r_xx and inter-temporal stability r_xy. In our longitudinal panel, odd-even split-half reliability is r_xx = 0.811 [95% CI: 0.77, 0.85] (n = 265), while adjacent cross-season stability across consecutive transitions is r_xy = 0.837 [95% cluster-bootstrap CI: 0.70, 0.90] (n = 143 transitions across 45 unique players). Because r_xy is comparable to or slightly exceeds r_xx, likely reflecting survivor selection among regular starters (a leading hypothesis examined in Appendix B), difference score reliability is approximately zero (r_ΔΔ ≈ 0; point estimates −0.16 at adjacent r_xy = 0.837 [truncated to 0.0] and +0.05 at pooled non-adjacent r_xy = 0.801; 95% bootstrap CI [−0.36, +0.05]) and statistically indistinguishable from zero (SE ≈ 0.10). Furthermore, the standard error of measurement implies an error standard deviation for year-over-year change (σ_noise = 0.360) that matches the observed standard deviation of change (σ_obs = 0.350). Consequently, year-over-year change scores are dominated by match-to-match stochasticity and regression to the mean, imposing an empirical noise ceiling on annual developmental forecasting.</w:t>
      </w:r>
    </w:p>
    <w:p>
      <w:pPr>
        <w:spacing w:before="100" w:after="30"/>
        <w:ind w:firstLine="0"/>
        <w:jc w:val="left"/>
      </w:pPr>
      <w:r>
        <w:rPr>
          <w:rFonts w:ascii="Times New Roman" w:hAnsi="Times New Roman"/>
          <w:b/>
          <w:i/>
          <w:sz w:val="20"/>
          <w:rFonts w:ascii="Times New Roman" w:hAnsi="Times New Roman" w:cs="Times New Roman"/>
        </w:rPr>
        <w:t>C. Resolving the Short-Horizon Paradox: Noise Filtering vs. Interaction Discovery</w:t>
      </w:r>
    </w:p>
    <w:p>
      <w:pPr>
        <w:spacing w:after="40" w:line="245" w:lineRule="auto"/>
        <w:ind w:firstLine="216"/>
        <w:jc w:val="both"/>
      </w:pPr>
      <w:r>
        <w:rPr>
          <w:rFonts w:ascii="Times New Roman" w:hAnsi="Times New Roman"/>
          <w:b w:val="0"/>
          <w:i w:val="0"/>
          <w:sz w:val="20"/>
          <w:rFonts w:ascii="Times New Roman" w:hAnsi="Times New Roman" w:cs="Times New Roman"/>
        </w:rPr>
        <w:t>The demonstrable 8.0% RMSE reduction achieved by machine learning in Design B does not contradict the Persistence Trap; rather, it clarifies its mechanism. Over short 9-matchweek competitive blocks, single-period rate observations are noisy due to small sample duration (450 to 810 minutes). Supervised models achieve lower error not by discovering complex non-linear interactions, but by acting as multi-dimensional noise filters: baseline comparison demonstrates that multi-period lag averaging alone closes 72% of the gap over single-period persistence, while linear Ridge regression captures 89% of Random Forest's improvement (−0.032 vs. −0.036; paired difference −0.004 spans zero). When sufficient exposure is accumulated (annual seasons in Design A), raw persistence becomes sufficiently reliable that the marginal noise-filtering benefit of machine learning attenuates.</w:t>
      </w:r>
    </w:p>
    <w:p>
      <w:pPr>
        <w:spacing w:before="100" w:after="30"/>
        <w:ind w:firstLine="0"/>
        <w:jc w:val="left"/>
      </w:pPr>
      <w:r>
        <w:rPr>
          <w:rFonts w:ascii="Times New Roman" w:hAnsi="Times New Roman"/>
          <w:b/>
          <w:i/>
          <w:sz w:val="20"/>
          <w:rFonts w:ascii="Times New Roman" w:hAnsi="Times New Roman" w:cs="Times New Roman"/>
        </w:rPr>
        <w:t>D. Recruitment Decision Support Protocol</w:t>
      </w:r>
    </w:p>
    <w:p>
      <w:pPr>
        <w:spacing w:after="40" w:line="245" w:lineRule="auto"/>
        <w:ind w:firstLine="216"/>
        <w:jc w:val="both"/>
      </w:pPr>
      <w:r>
        <w:rPr>
          <w:rFonts w:ascii="Times New Roman" w:hAnsi="Times New Roman"/>
          <w:b/>
          <w:i w:val="0"/>
          <w:sz w:val="20"/>
          <w:rFonts w:ascii="Times New Roman" w:hAnsi="Times New Roman" w:cs="Times New Roman"/>
        </w:rPr>
        <w:t xml:space="preserve">Actionable Scouting Protocol: </w:t>
      </w:r>
      <w:r>
        <w:rPr>
          <w:rFonts w:ascii="Times New Roman" w:hAnsi="Times New Roman"/>
          <w:b w:val="0"/>
          <w:i w:val="0"/>
          <w:sz w:val="20"/>
          <w:rFonts w:ascii="Times New Roman" w:hAnsi="Times New Roman" w:cs="Times New Roman"/>
        </w:rPr>
        <w:t>Building upon hierarchical parameter shrinkage principles established by Franks et al. [15] and qualitative recruitment frameworks [2], we synthesize our empirical results into a tri-tiered operational decision framework for professional scouting departments:</w:t>
      </w:r>
    </w:p>
    <w:p>
      <w:pPr>
        <w:spacing w:after="40" w:line="245" w:lineRule="auto"/>
        <w:ind w:firstLine="216"/>
        <w:jc w:val="both"/>
      </w:pPr>
      <w:r>
        <w:rPr>
          <w:rFonts w:ascii="Times New Roman" w:hAnsi="Times New Roman"/>
          <w:b w:val="0"/>
          <w:i w:val="0"/>
          <w:sz w:val="20"/>
          <w:rFonts w:ascii="Times New Roman" w:hAnsi="Times New Roman" w:cs="Times New Roman"/>
        </w:rPr>
        <w:t>1) Short-Horizon Tactical Screening: In intra-season scouting (e.g., evaluating mid-season loan candidates or short-sample prospects), deploy multi-block rate profiles and lag history using supervised architectures or regularized linear models (where point estimates suggest modest shortlist lifts of +1.37 for Random Forest and +1.32 for Elastic Net, versus +1.20 for single-period persistence, though confidence intervals span zero). This attenuates small-sample Poisson noise and prioritizes high-rate contributors.</w:t>
      </w:r>
    </w:p>
    <w:p>
      <w:pPr>
        <w:spacing w:after="40" w:line="245" w:lineRule="auto"/>
        <w:ind w:firstLine="216"/>
        <w:jc w:val="both"/>
      </w:pPr>
      <w:r>
        <w:rPr>
          <w:rFonts w:ascii="Times New Roman" w:hAnsi="Times New Roman"/>
          <w:b w:val="0"/>
          <w:i w:val="0"/>
          <w:sz w:val="20"/>
          <w:rFonts w:ascii="Times New Roman" w:hAnsi="Times New Roman" w:cs="Times New Roman"/>
        </w:rPr>
        <w:t>2) Annual Next-Season Capital Allocation: For permanent player acquisitions evaluated on annual horizons, calibrate persistence baselines and report conformal uncertainty corridors. Avoid allocating computational resources or transfer premiums based on complex multi-year developmental projections, as observed annual change scores are dominated by noise.</w:t>
      </w:r>
    </w:p>
    <w:p>
      <w:pPr>
        <w:spacing w:after="40" w:line="245" w:lineRule="auto"/>
        <w:ind w:firstLine="216"/>
        <w:jc w:val="both"/>
      </w:pPr>
      <w:r>
        <w:rPr>
          <w:rFonts w:ascii="Times New Roman" w:hAnsi="Times New Roman"/>
          <w:b w:val="0"/>
          <w:i w:val="0"/>
          <w:sz w:val="20"/>
          <w:rFonts w:ascii="Times New Roman" w:hAnsi="Times New Roman" w:cs="Times New Roman"/>
        </w:rPr>
        <w:t>3) Conformal Risk Management: Evaluate prospective signings using lower conformal bounds C_{1−α}^{lo}(X_{new}) under approximate exchangeability to establish calibrated empirical performance floors, aligning transfer expenditure with calibrated risk tolerances.</w:t>
      </w:r>
    </w:p>
    <w:p>
      <w:pPr>
        <w:spacing w:before="160" w:after="50"/>
        <w:ind w:firstLine="0"/>
        <w:jc w:val="center"/>
      </w:pPr>
      <w:r>
        <w:rPr>
          <w:rFonts w:ascii="Times New Roman" w:hAnsi="Times New Roman"/>
          <w:b/>
          <w:i w:val="0"/>
          <w:sz w:val="21"/>
          <w:rFonts w:ascii="Times New Roman" w:hAnsi="Times New Roman" w:cs="Times New Roman"/>
        </w:rPr>
        <w:t>VIII. THREATS TO VALIDITY AND LIMITATIONS</w:t>
      </w:r>
    </w:p>
    <w:p>
      <w:pPr>
        <w:spacing w:after="24" w:line="245" w:lineRule="auto"/>
        <w:ind w:firstLine="216"/>
        <w:jc w:val="both"/>
      </w:pPr>
      <w:r>
        <w:rPr>
          <w:rFonts w:ascii="Times New Roman" w:hAnsi="Times New Roman"/>
          <w:b/>
          <w:i w:val="0"/>
          <w:sz w:val="20"/>
          <w:rFonts w:ascii="Times New Roman" w:hAnsi="Times New Roman" w:cs="Times New Roman"/>
        </w:rPr>
        <w:t xml:space="preserve">Methodological Boundaries: </w:t>
      </w:r>
      <w:r>
        <w:rPr>
          <w:rFonts w:ascii="Times New Roman" w:hAnsi="Times New Roman"/>
          <w:b w:val="0"/>
          <w:i w:val="0"/>
          <w:sz w:val="20"/>
          <w:rFonts w:ascii="Times New Roman" w:hAnsi="Times New Roman" w:cs="Times New Roman"/>
        </w:rPr>
        <w:t>To maintain scientific objectivity, we acknowledge several critical constraints of this study:</w:t>
      </w:r>
    </w:p>
    <w:p>
      <w:pPr>
        <w:spacing w:after="24" w:line="245" w:lineRule="auto"/>
        <w:ind w:firstLine="216"/>
        <w:jc w:val="both"/>
      </w:pPr>
      <w:r>
        <w:rPr>
          <w:rFonts w:ascii="Times New Roman" w:hAnsi="Times New Roman"/>
          <w:b w:val="0"/>
          <w:i w:val="0"/>
          <w:sz w:val="20"/>
          <w:rFonts w:ascii="Times New Roman" w:hAnsi="Times New Roman" w:cs="Times New Roman"/>
        </w:rPr>
        <w:t>1) Single-Club Longitudinal Scope and Possession Dominance: The 17-season panel is restricted to FC Barcelona, an elite club characterized by high possession dominance across the analyzed domestic league fixtures. Furthermore, the 521 domestic league fixtures reflect StatsBomb's open 'Lionel Messi Data Biography' release, covering matches where Messi was named in the matchday squad. While persistence proves highly competitive in possession-dominant elite teams, developmental volatility may differ across clubs characterized by lower possession shares, frequent tactical turnover, or high squad attrition.</w:t>
      </w:r>
    </w:p>
    <w:p>
      <w:pPr>
        <w:spacing w:after="24" w:line="245" w:lineRule="auto"/>
        <w:ind w:firstLine="216"/>
        <w:jc w:val="both"/>
      </w:pPr>
      <w:r>
        <w:rPr>
          <w:rFonts w:ascii="Times New Roman" w:hAnsi="Times New Roman"/>
          <w:b w:val="0"/>
          <w:i w:val="0"/>
          <w:sz w:val="20"/>
          <w:rFonts w:ascii="Times New Roman" w:hAnsi="Times New Roman" w:cs="Times New Roman"/>
        </w:rPr>
        <w:t>2) Short-Horizon Single-Season Multi-League Scope: Design B is evaluated on a single competitive season (2015/16) partitioned into intra-season 9-matchweek blocks. While providing higher statistical power, findings from this short-horizon intra-season regime cannot be extrapolated to annual or multi-year transfer planning without longitudinal verification.</w:t>
      </w:r>
    </w:p>
    <w:p>
      <w:pPr>
        <w:spacing w:after="24" w:line="245" w:lineRule="auto"/>
        <w:ind w:firstLine="216"/>
        <w:jc w:val="both"/>
      </w:pPr>
      <w:r>
        <w:rPr>
          <w:rFonts w:ascii="Times New Roman" w:hAnsi="Times New Roman"/>
          <w:b w:val="0"/>
          <w:i w:val="0"/>
          <w:sz w:val="20"/>
          <w:rFonts w:ascii="Times New Roman" w:hAnsi="Times New Roman" w:cs="Times New Roman"/>
        </w:rPr>
        <w:t>3) Exploratory Post Hoc Positional Analyses and Small Role Sample Sizes: In Design A, position-specific evaluations are based on small sample sizes (n = 29 defenders, n = 19 midfielders, and n = 14 forwards in confirmation), resulting in wide bootstrap uncertainty intervals. Positional breakdowns were conducted post hoc rather than pre-registered, and should be interpreted as exploratory.</w:t>
      </w:r>
    </w:p>
    <w:p>
      <w:pPr>
        <w:spacing w:after="24" w:line="245" w:lineRule="auto"/>
        <w:ind w:firstLine="216"/>
        <w:jc w:val="both"/>
      </w:pPr>
      <w:r>
        <w:rPr>
          <w:rFonts w:ascii="Times New Roman" w:hAnsi="Times New Roman"/>
          <w:b w:val="0"/>
          <w:i w:val="0"/>
          <w:sz w:val="20"/>
          <w:rFonts w:ascii="Times New Roman" w:hAnsi="Times New Roman" w:cs="Times New Roman"/>
        </w:rPr>
        <w:t>4) Partial Player Overlap across Design B Partitions: In Design B, 573 players appear in both the development and confirmation partitions due to consecutive intra-season blocks. While our sensitivity analysis on 118 completely unseen confirmation players confirms that Random Forest maintains its performance advantage (RMSE = 0.399 vs. 0.416 for calibrated persistence and 0.477 for raw persistence), partial identity overlap remains an inherent feature of sequential intra-season panels.</w:t>
      </w:r>
    </w:p>
    <w:p>
      <w:pPr>
        <w:spacing w:after="24" w:line="245" w:lineRule="auto"/>
        <w:ind w:firstLine="216"/>
        <w:jc w:val="both"/>
      </w:pPr>
      <w:r>
        <w:rPr>
          <w:rFonts w:ascii="Times New Roman" w:hAnsi="Times New Roman"/>
          <w:b w:val="0"/>
          <w:i w:val="0"/>
          <w:sz w:val="20"/>
          <w:rFonts w:ascii="Times New Roman" w:hAnsi="Times New Roman" w:cs="Times New Roman"/>
        </w:rPr>
        <w:t>5) Positional Construct Validity and Unvalidated Equal-Weighted Composite Metric: External validity checks indicate that the composite Performance Index exhibits robust prospective correlation with subsequent managerial selection (playing time ρ = +0.727 [95% CI: +0.56, +0.81]) and market valuation (ρ = +0.787 [95% CI: +0.63, +0.88]) specifically for forwards. However, for defenders and midfielders, associations are weak or undetectable across all evaluated targets (minutes ρ = +0.080 and −0.014; valuation ρ = +0.077 and +0.080, with all 95% confidence intervals spanning zero across minutes, matches share, squad availability, and on-pitch goal differential; Table S-V). Consequently, the equal-weighted composite formulation is unvalidated for defensive and midfield roles. Developing specialized non-attacking metrics leveraging spatial tracking represents an essential future direction.</w:t>
      </w:r>
    </w:p>
    <w:p>
      <w:pPr>
        <w:spacing w:after="24" w:line="245" w:lineRule="auto"/>
        <w:ind w:firstLine="216"/>
        <w:jc w:val="both"/>
      </w:pPr>
      <w:r>
        <w:rPr>
          <w:rFonts w:ascii="Times New Roman" w:hAnsi="Times New Roman"/>
          <w:b w:val="0"/>
          <w:i w:val="0"/>
          <w:sz w:val="20"/>
          <w:rFonts w:ascii="Times New Roman" w:hAnsi="Times New Roman" w:cs="Times New Roman"/>
        </w:rPr>
        <w:t>6) Absence of Continuous Optical Tracking and GPS Telemetry: StatsBomb Open Data contains on-the-ball event coordinates but lacks continuous optical tracking and wearable micro-sensor telemetry. Consequently, we cannot measure acceleration loads, maximum sprint velocity, metabolic work, or off-the-ball deceleration capacity, which may contain predictive developmental signals regarding physiological breakdown.</w:t>
      </w:r>
    </w:p>
    <w:p>
      <w:pPr>
        <w:spacing w:after="24" w:line="245" w:lineRule="auto"/>
        <w:ind w:firstLine="216"/>
        <w:jc w:val="both"/>
      </w:pPr>
      <w:r>
        <w:rPr>
          <w:rFonts w:ascii="Times New Roman" w:hAnsi="Times New Roman"/>
          <w:b w:val="0"/>
          <w:i w:val="0"/>
          <w:sz w:val="20"/>
          <w:rFonts w:ascii="Times New Roman" w:hAnsi="Times New Roman" w:cs="Times New Roman"/>
        </w:rPr>
        <w:t>7) Transfer Valuation Endogeneity: Crowdsourced Transfermarkt valuations reflect market perception, media visibility, and contract duration alongside athletic ability. Clubs with proprietary scouting databases should supplement open crosswalks with verified contract terms.</w:t>
      </w:r>
    </w:p>
    <w:p>
      <w:pPr>
        <w:spacing w:after="24" w:line="245" w:lineRule="auto"/>
        <w:ind w:firstLine="216"/>
        <w:jc w:val="both"/>
      </w:pPr>
      <w:r>
        <w:rPr>
          <w:rFonts w:ascii="Times New Roman" w:hAnsi="Times New Roman"/>
          <w:b w:val="0"/>
          <w:i w:val="0"/>
          <w:sz w:val="20"/>
          <w:rFonts w:ascii="Times New Roman" w:hAnsi="Times New Roman" w:cs="Times New Roman"/>
        </w:rPr>
        <w:t>8) Survivor Selection Bias: By enforcing a 450-minute threshold across adjacent seasons, our longitudinal panel conditions on surviving professional athletes. Athletes who experience catastrophic injuries or performance collapse often fail to meet this threshold. In Design B, sensitivity tests confirm rankings are robust down to 180 minutes; however, in Design A, survivor conditioning remains an inherent limitation of observational single-club longitudinal panels.</w:t>
      </w:r>
    </w:p>
    <w:p>
      <w:pPr>
        <w:spacing w:after="24" w:line="245" w:lineRule="auto"/>
        <w:ind w:firstLine="216"/>
        <w:jc w:val="both"/>
      </w:pPr>
      <w:r>
        <w:rPr>
          <w:rFonts w:ascii="Times New Roman" w:hAnsi="Times New Roman"/>
          <w:b w:val="0"/>
          <w:i w:val="0"/>
          <w:sz w:val="20"/>
          <w:rFonts w:ascii="Times New Roman" w:hAnsi="Times New Roman" w:cs="Times New Roman"/>
        </w:rPr>
        <w:t>9) Approximate Conformal Exchangeability in Panel Settings: Inductive split-conformal guarantees formally assume exchangeability between calibration and evaluation instances. In longitudinal panels with repeated player appearances (K = 28 confirmation clusters), intra-player clustering induces non-trivial dependence. While empirical coverage tightly aligns with nominal targets, reported corridors represent empirical consistency under approximate exchangeability rather than exact finite-sample certificates.</w:t>
      </w:r>
    </w:p>
    <w:p>
      <w:pPr>
        <w:spacing w:before="160" w:after="50"/>
        <w:ind w:firstLine="0"/>
        <w:jc w:val="center"/>
      </w:pPr>
      <w:r>
        <w:rPr>
          <w:rFonts w:ascii="Times New Roman" w:hAnsi="Times New Roman"/>
          <w:b/>
          <w:i w:val="0"/>
          <w:sz w:val="21"/>
          <w:rFonts w:ascii="Times New Roman" w:hAnsi="Times New Roman" w:cs="Times New Roman"/>
        </w:rPr>
        <w:t>IX. CONCLUSION AND TRANSLATIONAL RULES</w:t>
      </w:r>
    </w:p>
    <w:p>
      <w:pPr>
        <w:spacing w:after="24" w:line="245" w:lineRule="auto"/>
        <w:ind w:firstLine="216"/>
        <w:jc w:val="both"/>
      </w:pPr>
      <w:r>
        <w:rPr>
          <w:rFonts w:ascii="Times New Roman" w:hAnsi="Times New Roman"/>
          <w:b w:val="0"/>
          <w:i w:val="0"/>
          <w:sz w:val="20"/>
          <w:rFonts w:ascii="Times New Roman" w:hAnsi="Times New Roman" w:cs="Times New Roman"/>
        </w:rPr>
        <w:t>This paper has presented an empirical and theoretical investigation of supervised machine learning versus baseline persistence in professional football talent forecasting. Across 17 seasons of longitudinal match telemetry, four European domestic leagues, and 1,382 block transitions, our findings indicate that season-level talent forecasting is subject to the Persistence Trap: athletic performance is sufficiently autoregressive that supervised algorithms trained on historical data primarily replicate historical persistence. Supervised models provide demonstrable empirical utility as multi-dimensional noise filters over short-horizon windows (9-matchweek competitive blocks), where—under forward sequential ablation in Random Forest—rate profiles (~62% of net gain) and temporal lag averaging (~38% of net gain) attenuate small-sample match stochasticity (whereas gains in linear models are predominantly history-driven, with lag history capturing 89% of Ridge regression's own gain). Crucially, external construct checks confirm that this composite primarily tracks managerial selection and market valuation for forwards, showing weak or no detectable association for defenders and midfielders. Two practical translational rules emerge for recruitment departments: First, event-based composites like the PI examined here are not supported for scouting defenders or holding midfielders without further validation; developing specialized non-attacking metrics leveraging continuous optical tracking, space-denial, and pressing triggers represents the essential direction for future work. Second, for forward talent scouting on annual horizons, recruitment departments should benchmark prospective models against calibrated persistence and multi-period moving averages, ensuring that analytical investments are grounded in demonstrable incremental predictive signal.</w:t>
      </w:r>
    </w:p>
    <w:p>
      <w:pPr>
        <w:spacing w:before="160" w:after="50"/>
        <w:ind w:firstLine="0"/>
        <w:jc w:val="center"/>
      </w:pPr>
      <w:r>
        <w:rPr>
          <w:rFonts w:ascii="Times New Roman" w:hAnsi="Times New Roman"/>
          <w:b/>
          <w:i w:val="0"/>
          <w:sz w:val="21"/>
          <w:rFonts w:ascii="Times New Roman" w:hAnsi="Times New Roman" w:cs="Times New Roman"/>
        </w:rPr>
        <w:t>DATA AND CODE AVAILABILITY</w:t>
      </w:r>
    </w:p>
    <w:p>
      <w:pPr>
        <w:spacing w:after="24" w:line="245" w:lineRule="auto"/>
        <w:ind w:firstLine="216"/>
        <w:jc w:val="both"/>
      </w:pPr>
      <w:r>
        <w:rPr>
          <w:rFonts w:ascii="Times New Roman" w:hAnsi="Times New Roman"/>
          <w:b/>
          <w:i w:val="0"/>
          <w:sz w:val="20"/>
          <w:rFonts w:ascii="Times New Roman" w:hAnsi="Times New Roman" w:cs="Times New Roman"/>
        </w:rPr>
        <w:t xml:space="preserve">Reproducibility Statement: </w:t>
      </w:r>
      <w:r>
        <w:rPr>
          <w:rFonts w:ascii="Times New Roman" w:hAnsi="Times New Roman"/>
          <w:b w:val="0"/>
          <w:i w:val="0"/>
          <w:sz w:val="20"/>
          <w:rFonts w:ascii="Times New Roman" w:hAnsi="Times New Roman" w:cs="Times New Roman"/>
        </w:rPr>
        <w:t>To ensure transparency and reproducibility, the research codebase, configuration manifests, and analysis scripts are organized in the project replication repository and publicly available at https://github.com/moniishh17/football-talent-scouting (release tag v1.0.0). The underlying match-event telemetry is provided by StatsBomb Open Data [28] (https://github.com/statsbomb/open-data) under its non-commercial user license, with event data curated and provided courtesy of StatsBomb. Player economic valuation data is derived from the open Transfermarkt dataset curated by David Cariboo ("Football Data from Transfermarkt", available on GitHub at https://github.com/dcaribou/transfermarkt-datasets and Kaggle at https://www.kaggle.com/datasets/davidcariboo/player-scores) licensed under CC0 1.0 Universal; in compliance with terms of use, deterministic entity crosswalk manifests and processed benchmark outputs are archived in the code repository.</w:t>
      </w:r>
    </w:p>
    <w:p>
      <w:pPr>
        <w:spacing w:before="160" w:after="50"/>
        <w:ind w:firstLine="0"/>
        <w:jc w:val="center"/>
      </w:pPr>
      <w:r>
        <w:rPr>
          <w:rFonts w:ascii="Times New Roman" w:hAnsi="Times New Roman"/>
          <w:b/>
          <w:i w:val="0"/>
          <w:sz w:val="21"/>
          <w:rFonts w:ascii="Times New Roman" w:hAnsi="Times New Roman" w:cs="Times New Roman"/>
        </w:rPr>
        <w:t>APPENDIX A: ARITHMETIC MEAN PERFORMANCE INDEX VARIANCE SCALING</w:t>
      </w:r>
    </w:p>
    <w:p>
      <w:pPr>
        <w:spacing w:after="24" w:line="245" w:lineRule="auto"/>
        <w:ind w:firstLine="216"/>
        <w:jc w:val="both"/>
      </w:pPr>
      <w:r>
        <w:rPr>
          <w:rFonts w:ascii="Times New Roman" w:hAnsi="Times New Roman"/>
          <w:b/>
          <w:i w:val="0"/>
          <w:sz w:val="20"/>
          <w:rFonts w:ascii="Times New Roman" w:hAnsi="Times New Roman" w:cs="Times New Roman"/>
        </w:rPr>
        <w:t xml:space="preserve">Remark 1 (Arithmetic Mean Variance Scaling): </w:t>
      </w:r>
      <w:r>
        <w:rPr>
          <w:rFonts w:ascii="Times New Roman" w:hAnsi="Times New Roman"/>
          <w:b w:val="0"/>
          <w:i w:val="0"/>
          <w:sz w:val="20"/>
          <w:rFonts w:ascii="Times New Roman" w:hAnsi="Times New Roman" w:cs="Times New Roman"/>
        </w:rPr>
        <w:t>Let z = [z_1, z_2, ..., z_M]^T be a vector of M standardized random variables with E[z_m] = 0 and Var(z_m) = 1 for all m in {1, ..., M}. Define the composite Performance Index as the unweighted arithmetic mean PI = (1 / M) · ∑_{m=1}^M s_m z_m with alignment signs s_m ∈ {−1, +1} (corresponding to c = 1 / M). Under mutual independence (Cov(z_j, z_k) = 0 for j ≠ k) and unit variances (Var(z_m) = 1 with s_m^2 = 1), E[PI] = 0 and theoretical variance evaluates as:</w:t>
      </w:r>
    </w:p>
    <w:p>
      <w:pPr>
        <w:spacing w:before="50" w:after="50"/>
        <w:ind w:firstLine="0"/>
        <w:jc w:val="center"/>
      </w:pPr>
      <w:r>
        <w:rPr>
          <w:rFonts w:ascii="Times New Roman" w:hAnsi="Times New Roman"/>
          <w:b w:val="0"/>
          <w:i/>
          <w:sz w:val="20"/>
          <w:rFonts w:ascii="Times New Roman" w:hAnsi="Times New Roman" w:cs="Times New Roman"/>
        </w:rPr>
        <w:t>Var(PI) = Var( (1 / M) · ∑_{m=1}^M s_m z_m ) = (1 / M^2) · ∑_{m=1}^M s_m^2 Var(z_m) = (1 / M^2) · M = 1 / M</w:t>
      </w:r>
      <w:r>
        <w:rPr>
          <w:rFonts w:ascii="Times New Roman" w:hAnsi="Times New Roman"/>
          <w:b w:val="0"/>
          <w:i w:val="0"/>
          <w:sz w:val="19"/>
          <w:rFonts w:ascii="Times New Roman" w:hAnsi="Times New Roman" w:cs="Times New Roman"/>
        </w:rPr>
        <w:t xml:space="preserve">    (A.1)</w:t>
      </w:r>
    </w:p>
    <w:p>
      <w:pPr>
        <w:spacing w:after="24" w:line="245" w:lineRule="auto"/>
        <w:ind w:firstLine="216"/>
        <w:jc w:val="both"/>
      </w:pPr>
      <w:r>
        <w:rPr>
          <w:rFonts w:ascii="Times New Roman" w:hAnsi="Times New Roman"/>
          <w:b w:val="0"/>
          <w:i w:val="0"/>
          <w:sz w:val="20"/>
          <w:rFonts w:ascii="Times New Roman" w:hAnsi="Times New Roman" w:cs="Times New Roman"/>
        </w:rPr>
        <w:t>Under arithmetic mean scaling, theoretical composite index variance scales inversely with metric cardinality M. Because every tactical position group (defenders, midfielders, and forwards) comprises exactly |M_g| = 6 standardized metrics (Table IV), theoretical variance under mutual independence is identically Var(PI) = 1/6 ≈ 0.167 for all positions. We note that empirically, positive collinearity among metrics inflates the observed variance to Var(PI) ≈ 0.343 on the longitudinal confirmation panel, departing from the mutual independence benchmark.</w:t>
      </w:r>
    </w:p>
    <w:p>
      <w:pPr>
        <w:spacing w:before="160" w:after="50"/>
        <w:ind w:firstLine="0"/>
        <w:jc w:val="center"/>
      </w:pPr>
      <w:r>
        <w:rPr>
          <w:rFonts w:ascii="Times New Roman" w:hAnsi="Times New Roman"/>
          <w:b/>
          <w:i w:val="0"/>
          <w:sz w:val="21"/>
          <w:rFonts w:ascii="Times New Roman" w:hAnsi="Times New Roman" w:cs="Times New Roman"/>
        </w:rPr>
        <w:t>APPENDIX B: CLASSICAL TEST THEORY AND DIFFERENCE SCORE RELIABILITY</w:t>
      </w:r>
    </w:p>
    <w:p>
      <w:pPr>
        <w:spacing w:after="24" w:line="245" w:lineRule="auto"/>
        <w:ind w:firstLine="216"/>
        <w:jc w:val="both"/>
      </w:pPr>
      <w:r>
        <w:rPr>
          <w:rFonts w:ascii="Times New Roman" w:hAnsi="Times New Roman"/>
          <w:b/>
          <w:i w:val="0"/>
          <w:sz w:val="20"/>
          <w:rFonts w:ascii="Times New Roman" w:hAnsi="Times New Roman" w:cs="Times New Roman"/>
        </w:rPr>
        <w:t xml:space="preserve">Proposition 1 (Lord &amp; Novick [12]): </w:t>
      </w:r>
      <w:r>
        <w:rPr>
          <w:rFonts w:ascii="Times New Roman" w:hAnsi="Times New Roman"/>
          <w:b w:val="0"/>
          <w:i w:val="0"/>
          <w:sz w:val="20"/>
          <w:rFonts w:ascii="Times New Roman" w:hAnsi="Times New Roman" w:cs="Times New Roman"/>
        </w:rPr>
        <w:t>Let x = T_x + e_x and y = T_y + e_y denote observed scores at origin t and destination t+1, where E[e_x] = E[e_y] = 0, Var(e_x) = Var(e_y) = σ_e^2, and Var(x) = Var(y) = σ^2. Let r_{xx} = Var(T_x) / σ^2 denote within-season split-half reliability, and r_{xy} = Corr(x, y) inter-temporal stability. The reliability of change score Δ = y − x is given by:</w:t>
      </w:r>
    </w:p>
    <w:p>
      <w:pPr>
        <w:spacing w:before="50" w:after="50"/>
        <w:ind w:firstLine="0"/>
        <w:jc w:val="center"/>
      </w:pPr>
      <w:r>
        <w:rPr>
          <w:rFonts w:ascii="Times New Roman" w:hAnsi="Times New Roman"/>
          <w:b w:val="0"/>
          <w:i/>
          <w:sz w:val="20"/>
          <w:rFonts w:ascii="Times New Roman" w:hAnsi="Times New Roman" w:cs="Times New Roman"/>
        </w:rPr>
        <w:t>r_{ΔΔ} = ( r_{xx} − r_{xy} ) / ( 1 − r_{xy} )</w:t>
      </w:r>
      <w:r>
        <w:rPr>
          <w:rFonts w:ascii="Times New Roman" w:hAnsi="Times New Roman"/>
          <w:b w:val="0"/>
          <w:i w:val="0"/>
          <w:sz w:val="19"/>
          <w:rFonts w:ascii="Times New Roman" w:hAnsi="Times New Roman" w:cs="Times New Roman"/>
        </w:rPr>
        <w:t xml:space="preserve">    (B.1)</w:t>
      </w:r>
    </w:p>
    <w:p>
      <w:pPr>
        <w:spacing w:after="24" w:line="245" w:lineRule="auto"/>
        <w:ind w:firstLine="216"/>
        <w:jc w:val="both"/>
      </w:pPr>
      <w:r>
        <w:rPr>
          <w:rFonts w:ascii="Times New Roman" w:hAnsi="Times New Roman"/>
          <w:b/>
          <w:i w:val="0"/>
          <w:sz w:val="20"/>
          <w:rFonts w:ascii="Times New Roman" w:hAnsi="Times New Roman" w:cs="Times New Roman"/>
        </w:rPr>
        <w:t xml:space="preserve">Derivation: </w:t>
      </w:r>
      <w:r>
        <w:rPr>
          <w:rFonts w:ascii="Times New Roman" w:hAnsi="Times New Roman"/>
          <w:b w:val="0"/>
          <w:i w:val="0"/>
          <w:sz w:val="20"/>
          <w:rFonts w:ascii="Times New Roman" w:hAnsi="Times New Roman" w:cs="Times New Roman"/>
        </w:rPr>
        <w:t>Observed change is Δ = (T_y − T_x) + (e_y − e_x). Under Classical Test Theory, uncorrelated errors imply Var(e_y − e_x) = 2 σ_e^2 = 2 σ^2 (1 − r_{xx}), while observed change variance is Var(Δ) = 2 σ^2 (1 − r_{xy}). Taking difference reliability as r_{ΔΔ} = 1 − [Var(error) / Var(observed)] directly yields (B.1).</w:t>
      </w:r>
    </w:p>
    <w:p>
      <w:pPr>
        <w:spacing w:after="24" w:line="245" w:lineRule="auto"/>
        <w:ind w:firstLine="216"/>
        <w:jc w:val="both"/>
      </w:pPr>
      <w:r>
        <w:rPr>
          <w:rFonts w:ascii="Times New Roman" w:hAnsi="Times New Roman"/>
          <w:b w:val="0"/>
          <w:i w:val="0"/>
          <w:sz w:val="20"/>
          <w:rFonts w:ascii="Times New Roman" w:hAnsi="Times New Roman" w:cs="Times New Roman"/>
        </w:rPr>
        <w:t>Empirically, within-season split-half reliability yields r_{xx} = 0.811 [95% CI: 0.77, 0.85] (n = 265), while adjacent cross-season stability is r_{xy} = 0.837 [95% cluster-bootstrap CI: 0.70, 0.90] (n = 143 across 45 players). Modest stability excess (r_{xy} &gt; r_{xx}) likely reflects survivor selection among regular starters (a leading hypothesis): restricting the panel to regular starters (≥ 450 min in adjacent campaigns) filters lower-tail attrition. Substituting into (B.1) yields difference reliability r_{ΔΔ} ≈ 0 (point estimates −0.16 at adjacent r_{xy} = 0.837 [truncated to 0.0] and +0.05 at pooled non-adjacent r_{xy} = 0.801; 95% bootstrap CI [−0.36, +0.05] spanning zero). With SEM = 0.254, change noise standard deviation is sqrt(2) · SEM = 0.360, matching observed change standard deviation (σ_Δ = 0.350). Noise variance (0.130) equaling observed change variance (0.123) confirms that annual change scores are dominated by match stochasticity, establishing an empirical noise ceiling on annual forecasting.</w:t>
      </w:r>
    </w:p>
    <w:p>
      <w:pPr>
        <w:sectPr>
          <w:headerReference w:type="default" r:id="rId74"/>
          <w:footerReference w:type="default" r:id="rId75"/>
          <w:type w:val="continuous"/>
          <w:pgSz w:w="12240" w:h="15840"/>
          <w:pgMar w:top="1080" w:right="900" w:bottom="1080" w:left="900" w:header="720" w:footer="720" w:gutter="0"/>
          <w:docGrid w:linePitch="360"/>
          <w:cols w:num="2" w:space="360"/>
        </w:sectPr>
      </w:pPr>
    </w:p>
    <w:p>
      <w:pPr>
        <w:spacing w:before="160" w:after="50"/>
        <w:ind w:firstLine="0"/>
        <w:jc w:val="center"/>
      </w:pPr>
      <w:r>
        <w:rPr>
          <w:rFonts w:ascii="Times New Roman" w:hAnsi="Times New Roman"/>
          <w:b/>
          <w:i w:val="0"/>
          <w:sz w:val="21"/>
          <w:rFonts w:ascii="Times New Roman" w:hAnsi="Times New Roman" w:cs="Times New Roman"/>
        </w:rPr>
        <w:t>SUPPLEMENTARY MATERIALS: DETAILED BENCHMARK BREAKDOWNS AND ROSTER DATA</w:t>
      </w:r>
    </w:p>
    <w:p>
      <w:pPr>
        <w:spacing w:after="40" w:line="245" w:lineRule="auto"/>
        <w:ind w:firstLine="216"/>
        <w:jc w:val="both"/>
      </w:pPr>
      <w:r>
        <w:rPr>
          <w:rFonts w:ascii="Times New Roman" w:hAnsi="Times New Roman"/>
          <w:b/>
          <w:i w:val="0"/>
          <w:sz w:val="20"/>
          <w:rFonts w:ascii="Times New Roman" w:hAnsi="Times New Roman" w:cs="Times New Roman"/>
        </w:rPr>
        <w:t xml:space="preserve">Overview: </w:t>
      </w:r>
      <w:r>
        <w:rPr>
          <w:rFonts w:ascii="Times New Roman" w:hAnsi="Times New Roman"/>
          <w:b w:val="0"/>
          <w:i w:val="0"/>
          <w:sz w:val="20"/>
          <w:rFonts w:ascii="Times New Roman" w:hAnsi="Times New Roman" w:cs="Times New Roman"/>
        </w:rPr>
        <w:t>This section compiles extended benchmark decompositions, sensitivity analyses, granular roster outputs, and external construct validity audits referenced in Section IV, Section V, and Section VI.</w:t>
      </w:r>
    </w:p>
    <w:p>
      <w:pPr>
        <w:spacing w:before="60" w:after="16"/>
        <w:ind w:firstLine="0"/>
        <w:jc w:val="center"/>
      </w:pPr>
      <w:r>
        <w:rPr>
          <w:rFonts w:ascii="Times New Roman" w:hAnsi="Times New Roman"/>
          <w:b/>
          <w:i w:val="0"/>
          <w:sz w:val="17"/>
          <w:rFonts w:ascii="Times New Roman" w:hAnsi="Times New Roman" w:cs="Times New Roman"/>
        </w:rPr>
        <w:t>TABLE S-I</w:t>
      </w:r>
    </w:p>
    <w:p>
      <w:pPr>
        <w:spacing w:after="24"/>
        <w:ind w:firstLine="0"/>
        <w:jc w:val="center"/>
      </w:pPr>
      <w:r>
        <w:rPr>
          <w:rFonts w:ascii="Times New Roman" w:hAnsi="Times New Roman"/>
          <w:b/>
          <w:i w:val="0"/>
          <w:sz w:val="16"/>
          <w:rFonts w:ascii="Times New Roman" w:hAnsi="Times New Roman" w:cs="Times New Roman"/>
        </w:rPr>
        <w:t>LONGITUDINAL FOLD-BY-FOLD PERFORMANCE DYNAMICS ACROSS 11 TEST SEASONS IN DESIGN A (DEVELOPMENT N = 81, CONFIRMATION N = 62)</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D1D5DB"/>
          <w:insideV w:val="none"/>
          <w:left w:val="none"/>
          <w:right w:val="none"/>
        </w:tblBorders>
      </w:tblPr>
      <w:tblGrid>
        <w:gridCol w:w="1491"/>
        <w:gridCol w:w="1491"/>
        <w:gridCol w:w="1491"/>
        <w:gridCol w:w="1491"/>
        <w:gridCol w:w="1491"/>
        <w:gridCol w:w="1491"/>
        <w:gridCol w:w="1491"/>
      </w:tblGrid>
      <w:tr>
        <w:tc>
          <w:tcPr>
            <w:tcW w:type="dxa" w:w="1440"/>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Partition Role</w:t>
            </w:r>
          </w:p>
        </w:tc>
        <w:tc>
          <w:tcPr>
            <w:tcW w:type="dxa" w:w="1152"/>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Test Season</w:t>
            </w:r>
          </w:p>
        </w:tc>
        <w:tc>
          <w:tcPr>
            <w:tcW w:type="dxa" w:w="1152"/>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Fold Size (n)</w:t>
            </w:r>
          </w:p>
        </w:tc>
        <w:tc>
          <w:tcPr>
            <w:tcW w:type="dxa" w:w="1872"/>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Calibrated Persistence RMSE</w:t>
            </w:r>
          </w:p>
        </w:tc>
        <w:tc>
          <w:tcPr>
            <w:tcW w:type="dxa" w:w="1872"/>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Random Forest RMSE</w:t>
            </w:r>
          </w:p>
        </w:tc>
        <w:tc>
          <w:tcPr>
            <w:tcW w:type="dxa" w:w="1296"/>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Spearman ρ (Pers)</w:t>
            </w:r>
          </w:p>
        </w:tc>
        <w:tc>
          <w:tcPr>
            <w:tcW w:type="dxa" w:w="2016"/>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Tactical Regime Context</w:t>
            </w:r>
          </w:p>
        </w:tc>
      </w:tr>
      <w:tr>
        <w:tc>
          <w:tcPr>
            <w:tcW w:type="dxa" w:w="1440"/>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Development</w:t>
            </w:r>
          </w:p>
        </w:tc>
        <w:tc>
          <w:tcPr>
            <w:tcW w:type="dxa" w:w="115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2009/10</w:t>
            </w:r>
          </w:p>
        </w:tc>
        <w:tc>
          <w:tcPr>
            <w:tcW w:type="dxa" w:w="115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12</w:t>
            </w:r>
          </w:p>
        </w:tc>
        <w:tc>
          <w:tcPr>
            <w:tcW w:type="dxa" w:w="187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0.306</w:t>
            </w:r>
          </w:p>
        </w:tc>
        <w:tc>
          <w:tcPr>
            <w:tcW w:type="dxa" w:w="187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0.379</w:t>
            </w:r>
          </w:p>
        </w:tc>
        <w:tc>
          <w:tcPr>
            <w:tcW w:type="dxa" w:w="129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0.839</w:t>
            </w:r>
          </w:p>
        </w:tc>
        <w:tc>
          <w:tcPr>
            <w:tcW w:type="dxa" w:w="201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Guardiola Sextuple Era</w:t>
            </w:r>
          </w:p>
        </w:tc>
      </w:tr>
      <w:tr>
        <w:tc>
          <w:tcPr>
            <w:tcW w:type="dxa" w:w="1440"/>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Development</w:t>
            </w:r>
          </w:p>
        </w:tc>
        <w:tc>
          <w:tcPr>
            <w:tcW w:type="dxa" w:w="115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2010/11</w:t>
            </w:r>
          </w:p>
        </w:tc>
        <w:tc>
          <w:tcPr>
            <w:tcW w:type="dxa" w:w="115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14</w:t>
            </w:r>
          </w:p>
        </w:tc>
        <w:tc>
          <w:tcPr>
            <w:tcW w:type="dxa" w:w="187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0.281</w:t>
            </w:r>
          </w:p>
        </w:tc>
        <w:tc>
          <w:tcPr>
            <w:tcW w:type="dxa" w:w="187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0.293</w:t>
            </w:r>
          </w:p>
        </w:tc>
        <w:tc>
          <w:tcPr>
            <w:tcW w:type="dxa" w:w="1296"/>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0.912</w:t>
            </w:r>
          </w:p>
        </w:tc>
        <w:tc>
          <w:tcPr>
            <w:tcW w:type="dxa" w:w="2016"/>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Guardiola Champions League Title</w:t>
            </w:r>
          </w:p>
        </w:tc>
      </w:tr>
      <w:tr>
        <w:tc>
          <w:tcPr>
            <w:tcW w:type="dxa" w:w="1440"/>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Development</w:t>
            </w:r>
          </w:p>
        </w:tc>
        <w:tc>
          <w:tcPr>
            <w:tcW w:type="dxa" w:w="115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2011/12</w:t>
            </w:r>
          </w:p>
        </w:tc>
        <w:tc>
          <w:tcPr>
            <w:tcW w:type="dxa" w:w="115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15</w:t>
            </w:r>
          </w:p>
        </w:tc>
        <w:tc>
          <w:tcPr>
            <w:tcW w:type="dxa" w:w="187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0.357</w:t>
            </w:r>
          </w:p>
        </w:tc>
        <w:tc>
          <w:tcPr>
            <w:tcW w:type="dxa" w:w="187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0.357</w:t>
            </w:r>
          </w:p>
        </w:tc>
        <w:tc>
          <w:tcPr>
            <w:tcW w:type="dxa" w:w="129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0.818</w:t>
            </w:r>
          </w:p>
        </w:tc>
        <w:tc>
          <w:tcPr>
            <w:tcW w:type="dxa" w:w="201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Guardiola Final Campaign</w:t>
            </w:r>
          </w:p>
        </w:tc>
      </w:tr>
      <w:tr>
        <w:tc>
          <w:tcPr>
            <w:tcW w:type="dxa" w:w="1440"/>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Development</w:t>
            </w:r>
          </w:p>
        </w:tc>
        <w:tc>
          <w:tcPr>
            <w:tcW w:type="dxa" w:w="115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2012/13</w:t>
            </w:r>
          </w:p>
        </w:tc>
        <w:tc>
          <w:tcPr>
            <w:tcW w:type="dxa" w:w="115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13</w:t>
            </w:r>
          </w:p>
        </w:tc>
        <w:tc>
          <w:tcPr>
            <w:tcW w:type="dxa" w:w="187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0.419</w:t>
            </w:r>
          </w:p>
        </w:tc>
        <w:tc>
          <w:tcPr>
            <w:tcW w:type="dxa" w:w="187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0.450</w:t>
            </w:r>
          </w:p>
        </w:tc>
        <w:tc>
          <w:tcPr>
            <w:tcW w:type="dxa" w:w="1296"/>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0.780</w:t>
            </w:r>
          </w:p>
        </w:tc>
        <w:tc>
          <w:tcPr>
            <w:tcW w:type="dxa" w:w="2016"/>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Vilanova 100-Point Season</w:t>
            </w:r>
          </w:p>
        </w:tc>
      </w:tr>
      <w:tr>
        <w:tc>
          <w:tcPr>
            <w:tcW w:type="dxa" w:w="1440"/>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Development</w:t>
            </w:r>
          </w:p>
        </w:tc>
        <w:tc>
          <w:tcPr>
            <w:tcW w:type="dxa" w:w="115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2013/14</w:t>
            </w:r>
          </w:p>
        </w:tc>
        <w:tc>
          <w:tcPr>
            <w:tcW w:type="dxa" w:w="115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13</w:t>
            </w:r>
          </w:p>
        </w:tc>
        <w:tc>
          <w:tcPr>
            <w:tcW w:type="dxa" w:w="187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0.384</w:t>
            </w:r>
          </w:p>
        </w:tc>
        <w:tc>
          <w:tcPr>
            <w:tcW w:type="dxa" w:w="187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0.325</w:t>
            </w:r>
          </w:p>
        </w:tc>
        <w:tc>
          <w:tcPr>
            <w:tcW w:type="dxa" w:w="129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0.819</w:t>
            </w:r>
          </w:p>
        </w:tc>
        <w:tc>
          <w:tcPr>
            <w:tcW w:type="dxa" w:w="201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Martino Transition Season</w:t>
            </w:r>
          </w:p>
        </w:tc>
      </w:tr>
      <w:tr>
        <w:tc>
          <w:tcPr>
            <w:tcW w:type="dxa" w:w="1440"/>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Development</w:t>
            </w:r>
          </w:p>
        </w:tc>
        <w:tc>
          <w:tcPr>
            <w:tcW w:type="dxa" w:w="115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2014/15</w:t>
            </w:r>
          </w:p>
        </w:tc>
        <w:tc>
          <w:tcPr>
            <w:tcW w:type="dxa" w:w="115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14</w:t>
            </w:r>
          </w:p>
        </w:tc>
        <w:tc>
          <w:tcPr>
            <w:tcW w:type="dxa" w:w="187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0.186</w:t>
            </w:r>
          </w:p>
        </w:tc>
        <w:tc>
          <w:tcPr>
            <w:tcW w:type="dxa" w:w="187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0.207</w:t>
            </w:r>
          </w:p>
        </w:tc>
        <w:tc>
          <w:tcPr>
            <w:tcW w:type="dxa" w:w="1296"/>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0.956</w:t>
            </w:r>
          </w:p>
        </w:tc>
        <w:tc>
          <w:tcPr>
            <w:tcW w:type="dxa" w:w="2016"/>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Luis Enrique Treble Campaign</w:t>
            </w:r>
          </w:p>
        </w:tc>
      </w:tr>
      <w:tr>
        <w:tc>
          <w:tcPr>
            <w:tcW w:type="dxa" w:w="1440"/>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Confirmation</w:t>
            </w:r>
          </w:p>
        </w:tc>
        <w:tc>
          <w:tcPr>
            <w:tcW w:type="dxa" w:w="115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2015/16</w:t>
            </w:r>
          </w:p>
        </w:tc>
        <w:tc>
          <w:tcPr>
            <w:tcW w:type="dxa" w:w="115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13</w:t>
            </w:r>
          </w:p>
        </w:tc>
        <w:tc>
          <w:tcPr>
            <w:tcW w:type="dxa" w:w="187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0.190</w:t>
            </w:r>
          </w:p>
        </w:tc>
        <w:tc>
          <w:tcPr>
            <w:tcW w:type="dxa" w:w="187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0.202</w:t>
            </w:r>
          </w:p>
        </w:tc>
        <w:tc>
          <w:tcPr>
            <w:tcW w:type="dxa" w:w="129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0.951</w:t>
            </w:r>
          </w:p>
        </w:tc>
        <w:tc>
          <w:tcPr>
            <w:tcW w:type="dxa" w:w="201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Luis Enrique Domestic Double</w:t>
            </w:r>
          </w:p>
        </w:tc>
      </w:tr>
      <w:tr>
        <w:tc>
          <w:tcPr>
            <w:tcW w:type="dxa" w:w="1440"/>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Confirmation</w:t>
            </w:r>
          </w:p>
        </w:tc>
        <w:tc>
          <w:tcPr>
            <w:tcW w:type="dxa" w:w="115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2016/17</w:t>
            </w:r>
          </w:p>
        </w:tc>
        <w:tc>
          <w:tcPr>
            <w:tcW w:type="dxa" w:w="115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15</w:t>
            </w:r>
          </w:p>
        </w:tc>
        <w:tc>
          <w:tcPr>
            <w:tcW w:type="dxa" w:w="187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0.434</w:t>
            </w:r>
          </w:p>
        </w:tc>
        <w:tc>
          <w:tcPr>
            <w:tcW w:type="dxa" w:w="187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0.383</w:t>
            </w:r>
          </w:p>
        </w:tc>
        <w:tc>
          <w:tcPr>
            <w:tcW w:type="dxa" w:w="1296"/>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0.725</w:t>
            </w:r>
          </w:p>
        </w:tc>
        <w:tc>
          <w:tcPr>
            <w:tcW w:type="dxa" w:w="2016"/>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Luis Enrique Final Season</w:t>
            </w:r>
          </w:p>
        </w:tc>
      </w:tr>
      <w:tr>
        <w:tc>
          <w:tcPr>
            <w:tcW w:type="dxa" w:w="1440"/>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Confirmation</w:t>
            </w:r>
          </w:p>
        </w:tc>
        <w:tc>
          <w:tcPr>
            <w:tcW w:type="dxa" w:w="115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2017/18</w:t>
            </w:r>
          </w:p>
        </w:tc>
        <w:tc>
          <w:tcPr>
            <w:tcW w:type="dxa" w:w="115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12</w:t>
            </w:r>
          </w:p>
        </w:tc>
        <w:tc>
          <w:tcPr>
            <w:tcW w:type="dxa" w:w="187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0.355</w:t>
            </w:r>
          </w:p>
        </w:tc>
        <w:tc>
          <w:tcPr>
            <w:tcW w:type="dxa" w:w="187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0.318</w:t>
            </w:r>
          </w:p>
        </w:tc>
        <w:tc>
          <w:tcPr>
            <w:tcW w:type="dxa" w:w="129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0.650</w:t>
            </w:r>
          </w:p>
        </w:tc>
        <w:tc>
          <w:tcPr>
            <w:tcW w:type="dxa" w:w="201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Valverde Undefeated League Run</w:t>
            </w:r>
          </w:p>
        </w:tc>
      </w:tr>
      <w:tr>
        <w:tc>
          <w:tcPr>
            <w:tcW w:type="dxa" w:w="1440"/>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Confirmation</w:t>
            </w:r>
          </w:p>
        </w:tc>
        <w:tc>
          <w:tcPr>
            <w:tcW w:type="dxa" w:w="115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2018/19</w:t>
            </w:r>
          </w:p>
        </w:tc>
        <w:tc>
          <w:tcPr>
            <w:tcW w:type="dxa" w:w="115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12</w:t>
            </w:r>
          </w:p>
        </w:tc>
        <w:tc>
          <w:tcPr>
            <w:tcW w:type="dxa" w:w="187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0.293</w:t>
            </w:r>
          </w:p>
        </w:tc>
        <w:tc>
          <w:tcPr>
            <w:tcW w:type="dxa" w:w="187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0.339</w:t>
            </w:r>
          </w:p>
        </w:tc>
        <w:tc>
          <w:tcPr>
            <w:tcW w:type="dxa" w:w="1296"/>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0.811</w:t>
            </w:r>
          </w:p>
        </w:tc>
        <w:tc>
          <w:tcPr>
            <w:tcW w:type="dxa" w:w="2016"/>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Valverde Second Title</w:t>
            </w:r>
          </w:p>
        </w:tc>
      </w:tr>
      <w:tr>
        <w:tc>
          <w:tcPr>
            <w:tcW w:type="dxa" w:w="1440"/>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Confirmation</w:t>
            </w:r>
          </w:p>
        </w:tc>
        <w:tc>
          <w:tcPr>
            <w:tcW w:type="dxa" w:w="115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2019/20</w:t>
            </w:r>
          </w:p>
        </w:tc>
        <w:tc>
          <w:tcPr>
            <w:tcW w:type="dxa" w:w="115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10</w:t>
            </w:r>
          </w:p>
        </w:tc>
        <w:tc>
          <w:tcPr>
            <w:tcW w:type="dxa" w:w="187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0.235</w:t>
            </w:r>
          </w:p>
        </w:tc>
        <w:tc>
          <w:tcPr>
            <w:tcW w:type="dxa" w:w="187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0.276</w:t>
            </w:r>
          </w:p>
        </w:tc>
        <w:tc>
          <w:tcPr>
            <w:tcW w:type="dxa" w:w="129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0.879</w:t>
            </w:r>
          </w:p>
        </w:tc>
        <w:tc>
          <w:tcPr>
            <w:tcW w:type="dxa" w:w="201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Setién Transition &amp; Pandemic Interruption</w:t>
            </w:r>
          </w:p>
        </w:tc>
      </w:tr>
    </w:tbl>
    <w:p>
      <w:pPr>
        <w:spacing w:before="60" w:after="16"/>
        <w:ind w:firstLine="0"/>
        <w:jc w:val="center"/>
      </w:pPr>
      <w:r>
        <w:rPr>
          <w:rFonts w:ascii="Times New Roman" w:hAnsi="Times New Roman"/>
          <w:b/>
          <w:i w:val="0"/>
          <w:sz w:val="17"/>
          <w:rFonts w:ascii="Times New Roman" w:hAnsi="Times New Roman" w:cs="Times New Roman"/>
        </w:rPr>
        <w:t>TABLE S-II</w:t>
      </w:r>
    </w:p>
    <w:p>
      <w:pPr>
        <w:spacing w:after="24"/>
        <w:ind w:firstLine="0"/>
        <w:jc w:val="center"/>
      </w:pPr>
      <w:r>
        <w:rPr>
          <w:rFonts w:ascii="Times New Roman" w:hAnsi="Times New Roman"/>
          <w:b/>
          <w:i w:val="0"/>
          <w:sz w:val="16"/>
          <w:rFonts w:ascii="Times New Roman" w:hAnsi="Times New Roman" w:cs="Times New Roman"/>
        </w:rPr>
        <w:t>SENSITIVITY ANALYSIS OF CONFIRMATION ERROR ACROSS PLAYING EXPOSURE THRESHOLDS IN DESIGN B 9-MATCHWEEK BLOCKS (COUNTED DIRECTLY FROM EVALUATION PARTITIONS)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D1D5DB"/>
          <w:insideV w:val="none"/>
          <w:left w:val="none"/>
          <w:right w:val="none"/>
        </w:tblBorders>
      </w:tblPr>
      <w:tblGrid>
        <w:gridCol w:w="1305"/>
        <w:gridCol w:w="1305"/>
        <w:gridCol w:w="1305"/>
        <w:gridCol w:w="1305"/>
        <w:gridCol w:w="1305"/>
        <w:gridCol w:w="1305"/>
        <w:gridCol w:w="1305"/>
        <w:gridCol w:w="1305"/>
      </w:tblGrid>
      <w:tr>
        <w:tc>
          <w:tcPr>
            <w:tcW w:type="dxa" w:w="1584"/>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Minutes Threshold</w:t>
            </w:r>
          </w:p>
        </w:tc>
        <w:tc>
          <w:tcPr>
            <w:tcW w:type="dxa" w:w="1152"/>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Dev Cohort n_dev</w:t>
            </w:r>
          </w:p>
        </w:tc>
        <w:tc>
          <w:tcPr>
            <w:tcW w:type="dxa" w:w="1152"/>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Conf Cohort n_conf</w:t>
            </w:r>
          </w:p>
        </w:tc>
        <w:tc>
          <w:tcPr>
            <w:tcW w:type="dxa" w:w="1152"/>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Pooled Cohort n_pool</w:t>
            </w:r>
          </w:p>
        </w:tc>
        <w:tc>
          <w:tcPr>
            <w:tcW w:type="dxa" w:w="1728"/>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Confirmation Pers RMSE</w:t>
            </w:r>
          </w:p>
        </w:tc>
        <w:tc>
          <w:tcPr>
            <w:tcW w:type="dxa" w:w="1728"/>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Confirmation RF RMSE</w:t>
            </w:r>
          </w:p>
        </w:tc>
        <w:tc>
          <w:tcPr>
            <w:tcW w:type="dxa" w:w="1296"/>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Error Reduction (%)</w:t>
            </w:r>
          </w:p>
        </w:tc>
        <w:tc>
          <w:tcPr>
            <w:tcW w:type="dxa" w:w="1440"/>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Statistical Significance</w:t>
            </w:r>
          </w:p>
        </w:tc>
      </w:tr>
      <w:tr>
        <w:tc>
          <w:tcPr>
            <w:tcW w:type="dxa" w:w="1584"/>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180 mins</w:t>
            </w:r>
          </w:p>
        </w:tc>
        <w:tc>
          <w:tcPr>
            <w:tcW w:type="dxa" w:w="115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979</w:t>
            </w:r>
          </w:p>
        </w:tc>
        <w:tc>
          <w:tcPr>
            <w:tcW w:type="dxa" w:w="115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1,026</w:t>
            </w:r>
          </w:p>
        </w:tc>
        <w:tc>
          <w:tcPr>
            <w:tcW w:type="dxa" w:w="115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2,005</w:t>
            </w:r>
          </w:p>
        </w:tc>
        <w:tc>
          <w:tcPr>
            <w:tcW w:type="dxa" w:w="1728"/>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0.452</w:t>
            </w:r>
          </w:p>
        </w:tc>
        <w:tc>
          <w:tcPr>
            <w:tcW w:type="dxa" w:w="1728"/>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0.429</w:t>
            </w:r>
          </w:p>
        </w:tc>
        <w:tc>
          <w:tcPr>
            <w:tcW w:type="dxa" w:w="129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5.2%</w:t>
            </w:r>
          </w:p>
        </w:tc>
        <w:tc>
          <w:tcPr>
            <w:tcW w:type="dxa" w:w="144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p &lt; 0.001 (Significant)</w:t>
            </w:r>
          </w:p>
        </w:tc>
      </w:tr>
      <w:tr>
        <w:tc>
          <w:tcPr>
            <w:tcW w:type="dxa" w:w="1584"/>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270 mins</w:t>
            </w:r>
          </w:p>
        </w:tc>
        <w:tc>
          <w:tcPr>
            <w:tcW w:type="dxa" w:w="115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823</w:t>
            </w:r>
          </w:p>
        </w:tc>
        <w:tc>
          <w:tcPr>
            <w:tcW w:type="dxa" w:w="115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852</w:t>
            </w:r>
          </w:p>
        </w:tc>
        <w:tc>
          <w:tcPr>
            <w:tcW w:type="dxa" w:w="115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1,675</w:t>
            </w:r>
          </w:p>
        </w:tc>
        <w:tc>
          <w:tcPr>
            <w:tcW w:type="dxa" w:w="1728"/>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0.445</w:t>
            </w:r>
          </w:p>
        </w:tc>
        <w:tc>
          <w:tcPr>
            <w:tcW w:type="dxa" w:w="1728"/>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0.413</w:t>
            </w:r>
          </w:p>
        </w:tc>
        <w:tc>
          <w:tcPr>
            <w:tcW w:type="dxa" w:w="1296"/>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7.3%</w:t>
            </w:r>
          </w:p>
        </w:tc>
        <w:tc>
          <w:tcPr>
            <w:tcW w:type="dxa" w:w="144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p &lt; 0.001 (Significant)</w:t>
            </w:r>
          </w:p>
        </w:tc>
      </w:tr>
      <w:tr>
        <w:tc>
          <w:tcPr>
            <w:tcW w:type="dxa" w:w="1584"/>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360 mins (Standard)</w:t>
            </w:r>
          </w:p>
        </w:tc>
        <w:tc>
          <w:tcPr>
            <w:tcW w:type="dxa" w:w="115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691</w:t>
            </w:r>
          </w:p>
        </w:tc>
        <w:tc>
          <w:tcPr>
            <w:tcW w:type="dxa" w:w="115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691</w:t>
            </w:r>
          </w:p>
        </w:tc>
        <w:tc>
          <w:tcPr>
            <w:tcW w:type="dxa" w:w="115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1,382</w:t>
            </w:r>
          </w:p>
        </w:tc>
        <w:tc>
          <w:tcPr>
            <w:tcW w:type="dxa" w:w="1728"/>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0.448</w:t>
            </w:r>
          </w:p>
        </w:tc>
        <w:tc>
          <w:tcPr>
            <w:tcW w:type="dxa" w:w="1728"/>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0.412</w:t>
            </w:r>
          </w:p>
        </w:tc>
        <w:tc>
          <w:tcPr>
            <w:tcW w:type="dxa" w:w="129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8.0%</w:t>
            </w:r>
          </w:p>
        </w:tc>
        <w:tc>
          <w:tcPr>
            <w:tcW w:type="dxa" w:w="144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p &lt; 0.001 (Significant)</w:t>
            </w:r>
          </w:p>
        </w:tc>
      </w:tr>
      <w:tr>
        <w:tc>
          <w:tcPr>
            <w:tcW w:type="dxa" w:w="1584"/>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450 mins</w:t>
            </w:r>
          </w:p>
        </w:tc>
        <w:tc>
          <w:tcPr>
            <w:tcW w:type="dxa" w:w="115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541</w:t>
            </w:r>
          </w:p>
        </w:tc>
        <w:tc>
          <w:tcPr>
            <w:tcW w:type="dxa" w:w="115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532</w:t>
            </w:r>
          </w:p>
        </w:tc>
        <w:tc>
          <w:tcPr>
            <w:tcW w:type="dxa" w:w="115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1,073</w:t>
            </w:r>
          </w:p>
        </w:tc>
        <w:tc>
          <w:tcPr>
            <w:tcW w:type="dxa" w:w="1728"/>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0.430</w:t>
            </w:r>
          </w:p>
        </w:tc>
        <w:tc>
          <w:tcPr>
            <w:tcW w:type="dxa" w:w="1728"/>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0.398</w:t>
            </w:r>
          </w:p>
        </w:tc>
        <w:tc>
          <w:tcPr>
            <w:tcW w:type="dxa" w:w="1296"/>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7.4%</w:t>
            </w:r>
          </w:p>
        </w:tc>
        <w:tc>
          <w:tcPr>
            <w:tcW w:type="dxa" w:w="144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p &lt; 0.001 (Significant)</w:t>
            </w:r>
          </w:p>
        </w:tc>
      </w:tr>
      <w:tr>
        <w:tc>
          <w:tcPr>
            <w:tcW w:type="dxa" w:w="1584"/>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600 mins</w:t>
            </w:r>
          </w:p>
        </w:tc>
        <w:tc>
          <w:tcPr>
            <w:tcW w:type="dxa" w:w="115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320</w:t>
            </w:r>
          </w:p>
        </w:tc>
        <w:tc>
          <w:tcPr>
            <w:tcW w:type="dxa" w:w="115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300</w:t>
            </w:r>
          </w:p>
        </w:tc>
        <w:tc>
          <w:tcPr>
            <w:tcW w:type="dxa" w:w="115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620</w:t>
            </w:r>
          </w:p>
        </w:tc>
        <w:tc>
          <w:tcPr>
            <w:tcW w:type="dxa" w:w="1728"/>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0.409</w:t>
            </w:r>
          </w:p>
        </w:tc>
        <w:tc>
          <w:tcPr>
            <w:tcW w:type="dxa" w:w="1728"/>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0.400</w:t>
            </w:r>
          </w:p>
        </w:tc>
        <w:tc>
          <w:tcPr>
            <w:tcW w:type="dxa" w:w="129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2.2%</w:t>
            </w:r>
          </w:p>
        </w:tc>
        <w:tc>
          <w:tcPr>
            <w:tcW w:type="dxa" w:w="144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p &lt; 0.05 (Significant)</w:t>
            </w:r>
          </w:p>
        </w:tc>
      </w:tr>
    </w:tbl>
    <w:p>
      <w:pPr>
        <w:spacing w:before="60" w:after="16"/>
        <w:ind w:firstLine="0"/>
        <w:jc w:val="center"/>
      </w:pPr>
      <w:r>
        <w:rPr>
          <w:rFonts w:ascii="Times New Roman" w:hAnsi="Times New Roman"/>
          <w:b/>
          <w:i w:val="0"/>
          <w:sz w:val="17"/>
          <w:rFonts w:ascii="Times New Roman" w:hAnsi="Times New Roman" w:cs="Times New Roman"/>
        </w:rPr>
        <w:t>TABLE S-III</w:t>
      </w:r>
    </w:p>
    <w:p>
      <w:pPr>
        <w:spacing w:after="24"/>
        <w:ind w:firstLine="0"/>
        <w:jc w:val="center"/>
      </w:pPr>
      <w:r>
        <w:rPr>
          <w:rFonts w:ascii="Times New Roman" w:hAnsi="Times New Roman"/>
          <w:b/>
          <w:i w:val="0"/>
          <w:sz w:val="16"/>
          <w:rFonts w:ascii="Times New Roman" w:hAnsi="Times New Roman" w:cs="Times New Roman"/>
        </w:rPr>
        <w:t>GRANULAR SUBGROUP ERROR TOPOLOGY FOR RANDOM FOREST PREDICTIONS ACROSS SUB-POPULATIONS IN DESIGN B CONFIRMATION SET (N = 691; TACTICAL ROLES DIRECTLY MAP TO MACRO POSITIONS IN TABLE VII: DEF N=281, MID N=246, FWD N=164)</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D1D5DB"/>
          <w:insideV w:val="none"/>
          <w:left w:val="none"/>
          <w:right w:val="none"/>
        </w:tblBorders>
      </w:tblPr>
      <w:tblGrid>
        <w:gridCol w:w="1740"/>
        <w:gridCol w:w="1740"/>
        <w:gridCol w:w="1740"/>
        <w:gridCol w:w="1740"/>
        <w:gridCol w:w="1740"/>
        <w:gridCol w:w="1740"/>
      </w:tblGrid>
      <w:tr>
        <w:tc>
          <w:tcPr>
            <w:tcW w:type="dxa" w:w="1728"/>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Subgroup Dimension</w:t>
            </w:r>
          </w:p>
        </w:tc>
        <w:tc>
          <w:tcPr>
            <w:tcW w:type="dxa" w:w="2592"/>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Tactical Role &amp; Position Mapping</w:t>
            </w:r>
          </w:p>
        </w:tc>
        <w:tc>
          <w:tcPr>
            <w:tcW w:type="dxa" w:w="1584"/>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Confirmation Subgroup Size (n)</w:t>
            </w:r>
          </w:p>
        </w:tc>
        <w:tc>
          <w:tcPr>
            <w:tcW w:type="dxa" w:w="1440"/>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Confirmation RMSE</w:t>
            </w:r>
          </w:p>
        </w:tc>
        <w:tc>
          <w:tcPr>
            <w:tcW w:type="dxa" w:w="1440"/>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Mean Absolute Error (MAE)</w:t>
            </w:r>
          </w:p>
        </w:tc>
        <w:tc>
          <w:tcPr>
            <w:tcW w:type="dxa" w:w="1872"/>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Error Characteristic</w:t>
            </w:r>
          </w:p>
        </w:tc>
      </w:tr>
      <w:tr>
        <w:tc>
          <w:tcPr>
            <w:tcW w:type="dxa" w:w="1728"/>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Tactical Role</w:t>
            </w:r>
          </w:p>
        </w:tc>
        <w:tc>
          <w:tcPr>
            <w:tcW w:type="dxa" w:w="25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Central Defenders (CB → DEF, n=281)</w:t>
            </w:r>
          </w:p>
        </w:tc>
        <w:tc>
          <w:tcPr>
            <w:tcW w:type="dxa" w:w="158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152</w:t>
            </w:r>
          </w:p>
        </w:tc>
        <w:tc>
          <w:tcPr>
            <w:tcW w:type="dxa" w:w="144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0.334</w:t>
            </w:r>
          </w:p>
        </w:tc>
        <w:tc>
          <w:tcPr>
            <w:tcW w:type="dxa" w:w="144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0.252</w:t>
            </w:r>
          </w:p>
        </w:tc>
        <w:tc>
          <w:tcPr>
            <w:tcW w:type="dxa" w:w="187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High stability; low noise</w:t>
            </w:r>
          </w:p>
        </w:tc>
      </w:tr>
      <w:tr>
        <w:tc>
          <w:tcPr>
            <w:tcW w:type="dxa" w:w="1728"/>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Tactical Role</w:t>
            </w:r>
          </w:p>
        </w:tc>
        <w:tc>
          <w:tcPr>
            <w:tcW w:type="dxa" w:w="25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Fullbacks / Wingbacks (FB → DEF, n=281)</w:t>
            </w:r>
          </w:p>
        </w:tc>
        <w:tc>
          <w:tcPr>
            <w:tcW w:type="dxa" w:w="158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129</w:t>
            </w:r>
          </w:p>
        </w:tc>
        <w:tc>
          <w:tcPr>
            <w:tcW w:type="dxa" w:w="144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0.364</w:t>
            </w:r>
          </w:p>
        </w:tc>
        <w:tc>
          <w:tcPr>
            <w:tcW w:type="dxa" w:w="144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0.278</w:t>
            </w:r>
          </w:p>
        </w:tc>
        <w:tc>
          <w:tcPr>
            <w:tcW w:type="dxa" w:w="187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Moderate turnover variance</w:t>
            </w:r>
          </w:p>
        </w:tc>
      </w:tr>
      <w:tr>
        <w:tc>
          <w:tcPr>
            <w:tcW w:type="dxa" w:w="1728"/>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Tactical Role</w:t>
            </w:r>
          </w:p>
        </w:tc>
        <w:tc>
          <w:tcPr>
            <w:tcW w:type="dxa" w:w="25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Central Midfielders (CM → MID, n=246)</w:t>
            </w:r>
          </w:p>
        </w:tc>
        <w:tc>
          <w:tcPr>
            <w:tcW w:type="dxa" w:w="158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148</w:t>
            </w:r>
          </w:p>
        </w:tc>
        <w:tc>
          <w:tcPr>
            <w:tcW w:type="dxa" w:w="144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0.418</w:t>
            </w:r>
          </w:p>
        </w:tc>
        <w:tc>
          <w:tcPr>
            <w:tcW w:type="dxa" w:w="144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0.316</w:t>
            </w:r>
          </w:p>
        </w:tc>
        <w:tc>
          <w:tcPr>
            <w:tcW w:type="dxa" w:w="187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High volume passing stability</w:t>
            </w:r>
          </w:p>
        </w:tc>
      </w:tr>
      <w:tr>
        <w:tc>
          <w:tcPr>
            <w:tcW w:type="dxa" w:w="1728"/>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Tactical Role</w:t>
            </w:r>
          </w:p>
        </w:tc>
        <w:tc>
          <w:tcPr>
            <w:tcW w:type="dxa" w:w="25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Attacking Midfielders (AM → MID, n=246)</w:t>
            </w:r>
          </w:p>
        </w:tc>
        <w:tc>
          <w:tcPr>
            <w:tcW w:type="dxa" w:w="158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98</w:t>
            </w:r>
          </w:p>
        </w:tc>
        <w:tc>
          <w:tcPr>
            <w:tcW w:type="dxa" w:w="144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0.448</w:t>
            </w:r>
          </w:p>
        </w:tc>
        <w:tc>
          <w:tcPr>
            <w:tcW w:type="dxa" w:w="144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0.342</w:t>
            </w:r>
          </w:p>
        </w:tc>
        <w:tc>
          <w:tcPr>
            <w:tcW w:type="dxa" w:w="187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Creative variance</w:t>
            </w:r>
          </w:p>
        </w:tc>
      </w:tr>
      <w:tr>
        <w:tc>
          <w:tcPr>
            <w:tcW w:type="dxa" w:w="1728"/>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Tactical Role</w:t>
            </w:r>
          </w:p>
        </w:tc>
        <w:tc>
          <w:tcPr>
            <w:tcW w:type="dxa" w:w="25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Center Forwards (CF → FWD, n=164)</w:t>
            </w:r>
          </w:p>
        </w:tc>
        <w:tc>
          <w:tcPr>
            <w:tcW w:type="dxa" w:w="158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72</w:t>
            </w:r>
          </w:p>
        </w:tc>
        <w:tc>
          <w:tcPr>
            <w:tcW w:type="dxa" w:w="144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0.468</w:t>
            </w:r>
          </w:p>
        </w:tc>
        <w:tc>
          <w:tcPr>
            <w:tcW w:type="dxa" w:w="144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0.358</w:t>
            </w:r>
          </w:p>
        </w:tc>
        <w:tc>
          <w:tcPr>
            <w:tcW w:type="dxa" w:w="187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Box finishing variance</w:t>
            </w:r>
          </w:p>
        </w:tc>
      </w:tr>
      <w:tr>
        <w:tc>
          <w:tcPr>
            <w:tcW w:type="dxa" w:w="1728"/>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Tactical Role</w:t>
            </w:r>
          </w:p>
        </w:tc>
        <w:tc>
          <w:tcPr>
            <w:tcW w:type="dxa" w:w="25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Wingers &amp; Wide Attackers (W → FWD, n=164)</w:t>
            </w:r>
          </w:p>
        </w:tc>
        <w:tc>
          <w:tcPr>
            <w:tcW w:type="dxa" w:w="158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92</w:t>
            </w:r>
          </w:p>
        </w:tc>
        <w:tc>
          <w:tcPr>
            <w:tcW w:type="dxa" w:w="144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0.489</w:t>
            </w:r>
          </w:p>
        </w:tc>
        <w:tc>
          <w:tcPr>
            <w:tcW w:type="dxa" w:w="144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0.374</w:t>
            </w:r>
          </w:p>
        </w:tc>
        <w:tc>
          <w:tcPr>
            <w:tcW w:type="dxa" w:w="187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High volatility (Poisson shot variance)</w:t>
            </w:r>
          </w:p>
        </w:tc>
      </w:tr>
      <w:tr>
        <w:tc>
          <w:tcPr>
            <w:tcW w:type="dxa" w:w="1728"/>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Age Bracket</w:t>
            </w:r>
          </w:p>
        </w:tc>
        <w:tc>
          <w:tcPr>
            <w:tcW w:type="dxa" w:w="25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Young Athletes (&lt; 23 yrs)</w:t>
            </w:r>
          </w:p>
        </w:tc>
        <w:tc>
          <w:tcPr>
            <w:tcW w:type="dxa" w:w="158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144</w:t>
            </w:r>
          </w:p>
        </w:tc>
        <w:tc>
          <w:tcPr>
            <w:tcW w:type="dxa" w:w="144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0.440</w:t>
            </w:r>
          </w:p>
        </w:tc>
        <w:tc>
          <w:tcPr>
            <w:tcW w:type="dxa" w:w="144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0.339</w:t>
            </w:r>
          </w:p>
        </w:tc>
        <w:tc>
          <w:tcPr>
            <w:tcW w:type="dxa" w:w="187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High variance; career development ramp</w:t>
            </w:r>
          </w:p>
        </w:tc>
      </w:tr>
      <w:tr>
        <w:tc>
          <w:tcPr>
            <w:tcW w:type="dxa" w:w="1728"/>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Age Bracket</w:t>
            </w:r>
          </w:p>
        </w:tc>
        <w:tc>
          <w:tcPr>
            <w:tcW w:type="dxa" w:w="25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Core Prime (23–25 yrs)</w:t>
            </w:r>
          </w:p>
        </w:tc>
        <w:tc>
          <w:tcPr>
            <w:tcW w:type="dxa" w:w="158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206</w:t>
            </w:r>
          </w:p>
        </w:tc>
        <w:tc>
          <w:tcPr>
            <w:tcW w:type="dxa" w:w="144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0.413</w:t>
            </w:r>
          </w:p>
        </w:tc>
        <w:tc>
          <w:tcPr>
            <w:tcW w:type="dxa" w:w="144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0.314</w:t>
            </w:r>
          </w:p>
        </w:tc>
        <w:tc>
          <w:tcPr>
            <w:tcW w:type="dxa" w:w="187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Stabilizing performance profiles</w:t>
            </w:r>
          </w:p>
        </w:tc>
      </w:tr>
      <w:tr>
        <w:tc>
          <w:tcPr>
            <w:tcW w:type="dxa" w:w="1728"/>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Age Bracket</w:t>
            </w:r>
          </w:p>
        </w:tc>
        <w:tc>
          <w:tcPr>
            <w:tcW w:type="dxa" w:w="25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Peak Prime (26–28 yrs)</w:t>
            </w:r>
          </w:p>
        </w:tc>
        <w:tc>
          <w:tcPr>
            <w:tcW w:type="dxa" w:w="158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210</w:t>
            </w:r>
          </w:p>
        </w:tc>
        <w:tc>
          <w:tcPr>
            <w:tcW w:type="dxa" w:w="144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0.390</w:t>
            </w:r>
          </w:p>
        </w:tc>
        <w:tc>
          <w:tcPr>
            <w:tcW w:type="dxa" w:w="144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0.294</w:t>
            </w:r>
          </w:p>
        </w:tc>
        <w:tc>
          <w:tcPr>
            <w:tcW w:type="dxa" w:w="187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Maximum autoregressive stability</w:t>
            </w:r>
          </w:p>
        </w:tc>
      </w:tr>
      <w:tr>
        <w:tc>
          <w:tcPr>
            <w:tcW w:type="dxa" w:w="1728"/>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Age Bracket</w:t>
            </w:r>
          </w:p>
        </w:tc>
        <w:tc>
          <w:tcPr>
            <w:tcW w:type="dxa" w:w="25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Veteran Cohort (29+ yrs)</w:t>
            </w:r>
          </w:p>
        </w:tc>
        <w:tc>
          <w:tcPr>
            <w:tcW w:type="dxa" w:w="158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131</w:t>
            </w:r>
          </w:p>
        </w:tc>
        <w:tc>
          <w:tcPr>
            <w:tcW w:type="dxa" w:w="144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0.406</w:t>
            </w:r>
          </w:p>
        </w:tc>
        <w:tc>
          <w:tcPr>
            <w:tcW w:type="dxa" w:w="144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0.310</w:t>
            </w:r>
          </w:p>
        </w:tc>
        <w:tc>
          <w:tcPr>
            <w:tcW w:type="dxa" w:w="187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Gradual athletic decline</w:t>
            </w:r>
          </w:p>
        </w:tc>
      </w:tr>
      <w:tr>
        <w:tc>
          <w:tcPr>
            <w:tcW w:type="dxa" w:w="1728"/>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Exposure Tier</w:t>
            </w:r>
          </w:p>
        </w:tc>
        <w:tc>
          <w:tcPr>
            <w:tcW w:type="dxa" w:w="25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Low Exposure (450–600 min)</w:t>
            </w:r>
          </w:p>
        </w:tc>
        <w:tc>
          <w:tcPr>
            <w:tcW w:type="dxa" w:w="158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205</w:t>
            </w:r>
          </w:p>
        </w:tc>
        <w:tc>
          <w:tcPr>
            <w:tcW w:type="dxa" w:w="144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0.447</w:t>
            </w:r>
          </w:p>
        </w:tc>
        <w:tc>
          <w:tcPr>
            <w:tcW w:type="dxa" w:w="144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0.348</w:t>
            </w:r>
          </w:p>
        </w:tc>
        <w:tc>
          <w:tcPr>
            <w:tcW w:type="dxa" w:w="187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Sample rate volatility</w:t>
            </w:r>
          </w:p>
        </w:tc>
      </w:tr>
      <w:tr>
        <w:tc>
          <w:tcPr>
            <w:tcW w:type="dxa" w:w="1728"/>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Exposure Tier</w:t>
            </w:r>
          </w:p>
        </w:tc>
        <w:tc>
          <w:tcPr>
            <w:tcW w:type="dxa" w:w="25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High Exposure (750–810 min)</w:t>
            </w:r>
          </w:p>
        </w:tc>
        <w:tc>
          <w:tcPr>
            <w:tcW w:type="dxa" w:w="158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261</w:t>
            </w:r>
          </w:p>
        </w:tc>
        <w:tc>
          <w:tcPr>
            <w:tcW w:type="dxa" w:w="144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0.382</w:t>
            </w:r>
          </w:p>
        </w:tc>
        <w:tc>
          <w:tcPr>
            <w:tcW w:type="dxa" w:w="144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0.286</w:t>
            </w:r>
          </w:p>
        </w:tc>
        <w:tc>
          <w:tcPr>
            <w:tcW w:type="dxa" w:w="187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Averaged sample stability</w:t>
            </w:r>
          </w:p>
        </w:tc>
      </w:tr>
    </w:tbl>
    <w:p>
      <w:pPr>
        <w:spacing w:before="60" w:after="16"/>
        <w:ind w:firstLine="0"/>
        <w:jc w:val="center"/>
      </w:pPr>
      <w:r>
        <w:rPr>
          <w:rFonts w:ascii="Times New Roman" w:hAnsi="Times New Roman"/>
          <w:b/>
          <w:i w:val="0"/>
          <w:sz w:val="17"/>
          <w:rFonts w:ascii="Times New Roman" w:hAnsi="Times New Roman" w:cs="Times New Roman"/>
        </w:rPr>
        <w:t>TABLE S-IV</w:t>
      </w:r>
    </w:p>
    <w:p>
      <w:pPr>
        <w:spacing w:after="24"/>
        <w:ind w:firstLine="0"/>
        <w:jc w:val="center"/>
      </w:pPr>
      <w:r>
        <w:rPr>
          <w:rFonts w:ascii="Times New Roman" w:hAnsi="Times New Roman"/>
          <w:b/>
          <w:i w:val="0"/>
          <w:sz w:val="16"/>
          <w:rFonts w:ascii="Times New Roman" w:hAnsi="Times New Roman" w:cs="Times New Roman"/>
        </w:rPr>
        <w:t>IN-DOMAIN QUALITATIVE SCOUTING ROSTER EVALUATION: FC BARCELONA 2020/21 OUTFIELD SQUAD WITH LINEAR FROZEN MODEL PROJECTIONS AND 80% CONFORMAL INTERVALS (Q̂ = 0.414, INTERVAL WIDTH = 0.828)</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D1D5DB"/>
          <w:insideV w:val="none"/>
          <w:left w:val="none"/>
          <w:right w:val="none"/>
        </w:tblBorders>
      </w:tblPr>
      <w:tblGrid>
        <w:gridCol w:w="1491"/>
        <w:gridCol w:w="1491"/>
        <w:gridCol w:w="1491"/>
        <w:gridCol w:w="1491"/>
        <w:gridCol w:w="1491"/>
        <w:gridCol w:w="1491"/>
        <w:gridCol w:w="1491"/>
      </w:tblGrid>
      <w:tr>
        <w:tc>
          <w:tcPr>
            <w:tcW w:type="dxa" w:w="1800"/>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Player Entity</w:t>
            </w:r>
          </w:p>
        </w:tc>
        <w:tc>
          <w:tcPr>
            <w:tcW w:type="dxa" w:w="1224"/>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Tactical Role</w:t>
            </w:r>
          </w:p>
        </w:tc>
        <w:tc>
          <w:tcPr>
            <w:tcW w:type="dxa" w:w="504"/>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Age</w:t>
            </w:r>
          </w:p>
        </w:tc>
        <w:tc>
          <w:tcPr>
            <w:tcW w:type="dxa" w:w="792"/>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Origin PI_t</w:t>
            </w:r>
          </w:p>
        </w:tc>
        <w:tc>
          <w:tcPr>
            <w:tcW w:type="dxa" w:w="792"/>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Projected ŷ</w:t>
            </w:r>
          </w:p>
        </w:tc>
        <w:tc>
          <w:tcPr>
            <w:tcW w:type="dxa" w:w="1656"/>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80% Conformal Interval</w:t>
            </w:r>
          </w:p>
        </w:tc>
        <w:tc>
          <w:tcPr>
            <w:tcW w:type="dxa" w:w="3600"/>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Tactical Profile &amp; Linear Model Adjustment</w:t>
            </w:r>
          </w:p>
        </w:tc>
      </w:tr>
      <w:tr>
        <w:tc>
          <w:tcPr>
            <w:tcW w:type="dxa" w:w="1800"/>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Lionel Messi</w:t>
            </w:r>
          </w:p>
        </w:tc>
        <w:tc>
          <w:tcPr>
            <w:tcW w:type="dxa" w:w="122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Forward (FWD)</w:t>
            </w:r>
          </w:p>
        </w:tc>
        <w:tc>
          <w:tcPr>
            <w:tcW w:type="dxa" w:w="50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33.9</w:t>
            </w:r>
          </w:p>
        </w:tc>
        <w:tc>
          <w:tcPr>
            <w:tcW w:type="dxa" w:w="7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+0.798</w:t>
            </w:r>
          </w:p>
        </w:tc>
        <w:tc>
          <w:tcPr>
            <w:tcW w:type="dxa" w:w="7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+0.675</w:t>
            </w:r>
          </w:p>
        </w:tc>
        <w:tc>
          <w:tcPr>
            <w:tcW w:type="dxa" w:w="165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[+0.261, +1.089]</w:t>
            </w:r>
          </w:p>
        </w:tc>
        <w:tc>
          <w:tcPr>
            <w:tcW w:type="dxa" w:w="360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Elite offensive creation and ball progression; linear shrinkage toward cohort mean (−0.12 adjustment)</w:t>
            </w:r>
          </w:p>
        </w:tc>
      </w:tr>
      <w:tr>
        <w:tc>
          <w:tcPr>
            <w:tcW w:type="dxa" w:w="1800"/>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Samuel Umtiti</w:t>
            </w:r>
          </w:p>
        </w:tc>
        <w:tc>
          <w:tcPr>
            <w:tcW w:type="dxa" w:w="122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Defender (DEF)</w:t>
            </w:r>
          </w:p>
        </w:tc>
        <w:tc>
          <w:tcPr>
            <w:tcW w:type="dxa" w:w="50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27.5</w:t>
            </w:r>
          </w:p>
        </w:tc>
        <w:tc>
          <w:tcPr>
            <w:tcW w:type="dxa" w:w="7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+0.688</w:t>
            </w:r>
          </w:p>
        </w:tc>
        <w:tc>
          <w:tcPr>
            <w:tcW w:type="dxa" w:w="7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+0.588</w:t>
            </w:r>
          </w:p>
        </w:tc>
        <w:tc>
          <w:tcPr>
            <w:tcW w:type="dxa" w:w="1656"/>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[+0.174, +1.002]</w:t>
            </w:r>
          </w:p>
        </w:tc>
        <w:tc>
          <w:tcPr>
            <w:tcW w:type="dxa" w:w="360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High defensive action volume and passing retention; linear shrinkage toward cohort mean (−0.10 adjustment)</w:t>
            </w:r>
          </w:p>
        </w:tc>
      </w:tr>
      <w:tr>
        <w:tc>
          <w:tcPr>
            <w:tcW w:type="dxa" w:w="1800"/>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Clément Lenglet</w:t>
            </w:r>
          </w:p>
        </w:tc>
        <w:tc>
          <w:tcPr>
            <w:tcW w:type="dxa" w:w="122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Defender (DEF)</w:t>
            </w:r>
          </w:p>
        </w:tc>
        <w:tc>
          <w:tcPr>
            <w:tcW w:type="dxa" w:w="50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25.9</w:t>
            </w:r>
          </w:p>
        </w:tc>
        <w:tc>
          <w:tcPr>
            <w:tcW w:type="dxa" w:w="7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+0.258</w:t>
            </w:r>
          </w:p>
        </w:tc>
        <w:tc>
          <w:tcPr>
            <w:tcW w:type="dxa" w:w="7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+0.244</w:t>
            </w:r>
          </w:p>
        </w:tc>
        <w:tc>
          <w:tcPr>
            <w:tcW w:type="dxa" w:w="165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[−0.170, +0.658]</w:t>
            </w:r>
          </w:p>
        </w:tc>
        <w:tc>
          <w:tcPr>
            <w:tcW w:type="dxa" w:w="360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Above-average backline passing volume; stable near-mean linear projection (−0.01 adjustment)</w:t>
            </w:r>
          </w:p>
        </w:tc>
      </w:tr>
      <w:tr>
        <w:tc>
          <w:tcPr>
            <w:tcW w:type="dxa" w:w="1800"/>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Miralem Pjanić</w:t>
            </w:r>
          </w:p>
        </w:tc>
        <w:tc>
          <w:tcPr>
            <w:tcW w:type="dxa" w:w="122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Midfielder (MID)</w:t>
            </w:r>
          </w:p>
        </w:tc>
        <w:tc>
          <w:tcPr>
            <w:tcW w:type="dxa" w:w="50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31.1</w:t>
            </w:r>
          </w:p>
        </w:tc>
        <w:tc>
          <w:tcPr>
            <w:tcW w:type="dxa" w:w="7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+0.145</w:t>
            </w:r>
          </w:p>
        </w:tc>
        <w:tc>
          <w:tcPr>
            <w:tcW w:type="dxa" w:w="7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+0.154</w:t>
            </w:r>
          </w:p>
        </w:tc>
        <w:tc>
          <w:tcPr>
            <w:tcW w:type="dxa" w:w="1656"/>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[−0.260, +0.568]</w:t>
            </w:r>
          </w:p>
        </w:tc>
        <w:tc>
          <w:tcPr>
            <w:tcW w:type="dxa" w:w="360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Midfield passing volume; linear regression applies slight mean-reversion (+0.01 adjustment)</w:t>
            </w:r>
          </w:p>
        </w:tc>
      </w:tr>
      <w:tr>
        <w:tc>
          <w:tcPr>
            <w:tcW w:type="dxa" w:w="1800"/>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Gerard Piqué</w:t>
            </w:r>
          </w:p>
        </w:tc>
        <w:tc>
          <w:tcPr>
            <w:tcW w:type="dxa" w:w="122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Defender (DEF)</w:t>
            </w:r>
          </w:p>
        </w:tc>
        <w:tc>
          <w:tcPr>
            <w:tcW w:type="dxa" w:w="50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34.3</w:t>
            </w:r>
          </w:p>
        </w:tc>
        <w:tc>
          <w:tcPr>
            <w:tcW w:type="dxa" w:w="7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+0.132</w:t>
            </w:r>
          </w:p>
        </w:tc>
        <w:tc>
          <w:tcPr>
            <w:tcW w:type="dxa" w:w="7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+0.143</w:t>
            </w:r>
          </w:p>
        </w:tc>
        <w:tc>
          <w:tcPr>
            <w:tcW w:type="dxa" w:w="165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[−0.271, +0.557]</w:t>
            </w:r>
          </w:p>
        </w:tc>
        <w:tc>
          <w:tcPr>
            <w:tcW w:type="dxa" w:w="360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Defensive recovery volume and distribution; linear persistence near cohort baseline (+0.01 adjustment)</w:t>
            </w:r>
          </w:p>
        </w:tc>
      </w:tr>
      <w:tr>
        <w:tc>
          <w:tcPr>
            <w:tcW w:type="dxa" w:w="1800"/>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Ronald Araújo</w:t>
            </w:r>
          </w:p>
        </w:tc>
        <w:tc>
          <w:tcPr>
            <w:tcW w:type="dxa" w:w="122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Defender (DEF)</w:t>
            </w:r>
          </w:p>
        </w:tc>
        <w:tc>
          <w:tcPr>
            <w:tcW w:type="dxa" w:w="50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22.2</w:t>
            </w:r>
          </w:p>
        </w:tc>
        <w:tc>
          <w:tcPr>
            <w:tcW w:type="dxa" w:w="7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+0.099</w:t>
            </w:r>
          </w:p>
        </w:tc>
        <w:tc>
          <w:tcPr>
            <w:tcW w:type="dxa" w:w="7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+0.117</w:t>
            </w:r>
          </w:p>
        </w:tc>
        <w:tc>
          <w:tcPr>
            <w:tcW w:type="dxa" w:w="1656"/>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[−0.297, +0.531]</w:t>
            </w:r>
          </w:p>
        </w:tc>
        <w:tc>
          <w:tcPr>
            <w:tcW w:type="dxa" w:w="360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High duel volume; projected near positional cohort baseline (+0.02 adjustment)</w:t>
            </w:r>
          </w:p>
        </w:tc>
      </w:tr>
      <w:tr>
        <w:tc>
          <w:tcPr>
            <w:tcW w:type="dxa" w:w="1800"/>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Frenkie de Jong</w:t>
            </w:r>
          </w:p>
        </w:tc>
        <w:tc>
          <w:tcPr>
            <w:tcW w:type="dxa" w:w="122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Midfielder (MID)</w:t>
            </w:r>
          </w:p>
        </w:tc>
        <w:tc>
          <w:tcPr>
            <w:tcW w:type="dxa" w:w="50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24.0</w:t>
            </w:r>
          </w:p>
        </w:tc>
        <w:tc>
          <w:tcPr>
            <w:tcW w:type="dxa" w:w="7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+0.022</w:t>
            </w:r>
          </w:p>
        </w:tc>
        <w:tc>
          <w:tcPr>
            <w:tcW w:type="dxa" w:w="7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+0.056</w:t>
            </w:r>
          </w:p>
        </w:tc>
        <w:tc>
          <w:tcPr>
            <w:tcW w:type="dxa" w:w="165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[−0.358, +0.470]</w:t>
            </w:r>
          </w:p>
        </w:tc>
        <w:tc>
          <w:tcPr>
            <w:tcW w:type="dxa" w:w="360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Progressive carrying and passing distribution; linear persistence near zero baseline (+0.03 adjustment)</w:t>
            </w:r>
          </w:p>
        </w:tc>
      </w:tr>
      <w:tr>
        <w:tc>
          <w:tcPr>
            <w:tcW w:type="dxa" w:w="1800"/>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Sergio Busquets</w:t>
            </w:r>
          </w:p>
        </w:tc>
        <w:tc>
          <w:tcPr>
            <w:tcW w:type="dxa" w:w="122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Midfielder (MID)</w:t>
            </w:r>
          </w:p>
        </w:tc>
        <w:tc>
          <w:tcPr>
            <w:tcW w:type="dxa" w:w="50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32.8</w:t>
            </w:r>
          </w:p>
        </w:tc>
        <w:tc>
          <w:tcPr>
            <w:tcW w:type="dxa" w:w="7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−0.097</w:t>
            </w:r>
          </w:p>
        </w:tc>
        <w:tc>
          <w:tcPr>
            <w:tcW w:type="dxa" w:w="7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−0.040</w:t>
            </w:r>
          </w:p>
        </w:tc>
        <w:tc>
          <w:tcPr>
            <w:tcW w:type="dxa" w:w="1656"/>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[−0.454, +0.374]</w:t>
            </w:r>
          </w:p>
        </w:tc>
        <w:tc>
          <w:tcPr>
            <w:tcW w:type="dxa" w:w="360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High-volume passing distribution; linear mean reversion applies upward adjustment (+0.06)</w:t>
            </w:r>
          </w:p>
        </w:tc>
      </w:tr>
      <w:tr>
        <w:tc>
          <w:tcPr>
            <w:tcW w:type="dxa" w:w="1800"/>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Ousmane Dembélé</w:t>
            </w:r>
          </w:p>
        </w:tc>
        <w:tc>
          <w:tcPr>
            <w:tcW w:type="dxa" w:w="122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Winger (FWD)</w:t>
            </w:r>
          </w:p>
        </w:tc>
        <w:tc>
          <w:tcPr>
            <w:tcW w:type="dxa" w:w="50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24.0</w:t>
            </w:r>
          </w:p>
        </w:tc>
        <w:tc>
          <w:tcPr>
            <w:tcW w:type="dxa" w:w="7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−0.049</w:t>
            </w:r>
          </w:p>
        </w:tc>
        <w:tc>
          <w:tcPr>
            <w:tcW w:type="dxa" w:w="7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−0.001</w:t>
            </w:r>
          </w:p>
        </w:tc>
        <w:tc>
          <w:tcPr>
            <w:tcW w:type="dxa" w:w="165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[−0.415, +0.413]</w:t>
            </w:r>
          </w:p>
        </w:tc>
        <w:tc>
          <w:tcPr>
            <w:tcW w:type="dxa" w:w="360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Progressive carrying volume counterbalanced by lower passing accuracy; projects near mean (+0.05 adjustment)</w:t>
            </w:r>
          </w:p>
        </w:tc>
      </w:tr>
      <w:tr>
        <w:tc>
          <w:tcPr>
            <w:tcW w:type="dxa" w:w="1800"/>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Sergiño Dest</w:t>
            </w:r>
          </w:p>
        </w:tc>
        <w:tc>
          <w:tcPr>
            <w:tcW w:type="dxa" w:w="122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Fullback (DEF)</w:t>
            </w:r>
          </w:p>
        </w:tc>
        <w:tc>
          <w:tcPr>
            <w:tcW w:type="dxa" w:w="50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20.5</w:t>
            </w:r>
          </w:p>
        </w:tc>
        <w:tc>
          <w:tcPr>
            <w:tcW w:type="dxa" w:w="7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−0.226</w:t>
            </w:r>
          </w:p>
        </w:tc>
        <w:tc>
          <w:tcPr>
            <w:tcW w:type="dxa" w:w="7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−0.143</w:t>
            </w:r>
          </w:p>
        </w:tc>
        <w:tc>
          <w:tcPr>
            <w:tcW w:type="dxa" w:w="1656"/>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[−0.557, +0.271]</w:t>
            </w:r>
          </w:p>
        </w:tc>
        <w:tc>
          <w:tcPr>
            <w:tcW w:type="dxa" w:w="360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Flank progressive carry output; linear regression applies upward adjustment (+0.08)</w:t>
            </w:r>
          </w:p>
        </w:tc>
      </w:tr>
      <w:tr>
        <w:tc>
          <w:tcPr>
            <w:tcW w:type="dxa" w:w="1800"/>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Óscar Mingueza</w:t>
            </w:r>
          </w:p>
        </w:tc>
        <w:tc>
          <w:tcPr>
            <w:tcW w:type="dxa" w:w="122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Defender (DEF)</w:t>
            </w:r>
          </w:p>
        </w:tc>
        <w:tc>
          <w:tcPr>
            <w:tcW w:type="dxa" w:w="50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22.0</w:t>
            </w:r>
          </w:p>
        </w:tc>
        <w:tc>
          <w:tcPr>
            <w:tcW w:type="dxa" w:w="7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−0.234</w:t>
            </w:r>
          </w:p>
        </w:tc>
        <w:tc>
          <w:tcPr>
            <w:tcW w:type="dxa" w:w="7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−0.150</w:t>
            </w:r>
          </w:p>
        </w:tc>
        <w:tc>
          <w:tcPr>
            <w:tcW w:type="dxa" w:w="165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[−0.564, +0.264]</w:t>
            </w:r>
          </w:p>
        </w:tc>
        <w:tc>
          <w:tcPr>
            <w:tcW w:type="dxa" w:w="360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Backline defensive actions; linear regression applies upward adjustment (+0.08)</w:t>
            </w:r>
          </w:p>
        </w:tc>
      </w:tr>
      <w:tr>
        <w:tc>
          <w:tcPr>
            <w:tcW w:type="dxa" w:w="1800"/>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Pedro González (Pedri)</w:t>
            </w:r>
          </w:p>
        </w:tc>
        <w:tc>
          <w:tcPr>
            <w:tcW w:type="dxa" w:w="122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Midfielder (MID)</w:t>
            </w:r>
          </w:p>
        </w:tc>
        <w:tc>
          <w:tcPr>
            <w:tcW w:type="dxa" w:w="50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18.5</w:t>
            </w:r>
          </w:p>
        </w:tc>
        <w:tc>
          <w:tcPr>
            <w:tcW w:type="dxa" w:w="7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−0.311</w:t>
            </w:r>
          </w:p>
        </w:tc>
        <w:tc>
          <w:tcPr>
            <w:tcW w:type="dxa" w:w="7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−0.211</w:t>
            </w:r>
          </w:p>
        </w:tc>
        <w:tc>
          <w:tcPr>
            <w:tcW w:type="dxa" w:w="1656"/>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[−0.625, +0.203]</w:t>
            </w:r>
          </w:p>
        </w:tc>
        <w:tc>
          <w:tcPr>
            <w:tcW w:type="dxa" w:w="360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Midfield distribution volume; linear regression applies upward mean reversion (+0.10 adjustment)</w:t>
            </w:r>
          </w:p>
        </w:tc>
      </w:tr>
      <w:tr>
        <w:tc>
          <w:tcPr>
            <w:tcW w:type="dxa" w:w="1800"/>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Sergi Roberto</w:t>
            </w:r>
          </w:p>
        </w:tc>
        <w:tc>
          <w:tcPr>
            <w:tcW w:type="dxa" w:w="122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Fullback (DEF)</w:t>
            </w:r>
          </w:p>
        </w:tc>
        <w:tc>
          <w:tcPr>
            <w:tcW w:type="dxa" w:w="50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29.3</w:t>
            </w:r>
          </w:p>
        </w:tc>
        <w:tc>
          <w:tcPr>
            <w:tcW w:type="dxa" w:w="7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−0.312</w:t>
            </w:r>
          </w:p>
        </w:tc>
        <w:tc>
          <w:tcPr>
            <w:tcW w:type="dxa" w:w="7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−0.212</w:t>
            </w:r>
          </w:p>
        </w:tc>
        <w:tc>
          <w:tcPr>
            <w:tcW w:type="dxa" w:w="165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[−0.626, +0.202]</w:t>
            </w:r>
          </w:p>
        </w:tc>
        <w:tc>
          <w:tcPr>
            <w:tcW w:type="dxa" w:w="360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Fullback passing distribution; linear regression applies upward mean reversion (+0.10 adjustment)</w:t>
            </w:r>
          </w:p>
        </w:tc>
      </w:tr>
      <w:tr>
        <w:tc>
          <w:tcPr>
            <w:tcW w:type="dxa" w:w="1800"/>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Philippe Coutinho</w:t>
            </w:r>
          </w:p>
        </w:tc>
        <w:tc>
          <w:tcPr>
            <w:tcW w:type="dxa" w:w="122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Midfielder (MID)</w:t>
            </w:r>
          </w:p>
        </w:tc>
        <w:tc>
          <w:tcPr>
            <w:tcW w:type="dxa" w:w="50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28.9</w:t>
            </w:r>
          </w:p>
        </w:tc>
        <w:tc>
          <w:tcPr>
            <w:tcW w:type="dxa" w:w="7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−0.361</w:t>
            </w:r>
          </w:p>
        </w:tc>
        <w:tc>
          <w:tcPr>
            <w:tcW w:type="dxa" w:w="7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−0.251</w:t>
            </w:r>
          </w:p>
        </w:tc>
        <w:tc>
          <w:tcPr>
            <w:tcW w:type="dxa" w:w="1656"/>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[−0.665, +0.163]</w:t>
            </w:r>
          </w:p>
        </w:tc>
        <w:tc>
          <w:tcPr>
            <w:tcW w:type="dxa" w:w="360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Moderate creative shot volume; linear regression applies upward adjustment (+0.11)</w:t>
            </w:r>
          </w:p>
        </w:tc>
      </w:tr>
      <w:tr>
        <w:tc>
          <w:tcPr>
            <w:tcW w:type="dxa" w:w="1800"/>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Jordi Alba</w:t>
            </w:r>
          </w:p>
        </w:tc>
        <w:tc>
          <w:tcPr>
            <w:tcW w:type="dxa" w:w="122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Fullback (DEF)</w:t>
            </w:r>
          </w:p>
        </w:tc>
        <w:tc>
          <w:tcPr>
            <w:tcW w:type="dxa" w:w="50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32.2</w:t>
            </w:r>
          </w:p>
        </w:tc>
        <w:tc>
          <w:tcPr>
            <w:tcW w:type="dxa" w:w="7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−0.370</w:t>
            </w:r>
          </w:p>
        </w:tc>
        <w:tc>
          <w:tcPr>
            <w:tcW w:type="dxa" w:w="7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−0.258</w:t>
            </w:r>
          </w:p>
        </w:tc>
        <w:tc>
          <w:tcPr>
            <w:tcW w:type="dxa" w:w="165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[−0.672, +0.156]</w:t>
            </w:r>
          </w:p>
        </w:tc>
        <w:tc>
          <w:tcPr>
            <w:tcW w:type="dxa" w:w="360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Wide progression volume; linear regression applies upward adjustment (+0.11)</w:t>
            </w:r>
          </w:p>
        </w:tc>
      </w:tr>
      <w:tr>
        <w:tc>
          <w:tcPr>
            <w:tcW w:type="dxa" w:w="1800"/>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Moriba Kourouma</w:t>
            </w:r>
          </w:p>
        </w:tc>
        <w:tc>
          <w:tcPr>
            <w:tcW w:type="dxa" w:w="122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Midfielder (MID)</w:t>
            </w:r>
          </w:p>
        </w:tc>
        <w:tc>
          <w:tcPr>
            <w:tcW w:type="dxa" w:w="50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18.3</w:t>
            </w:r>
          </w:p>
        </w:tc>
        <w:tc>
          <w:tcPr>
            <w:tcW w:type="dxa" w:w="7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−0.508</w:t>
            </w:r>
          </w:p>
        </w:tc>
        <w:tc>
          <w:tcPr>
            <w:tcW w:type="dxa" w:w="7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−0.369</w:t>
            </w:r>
          </w:p>
        </w:tc>
        <w:tc>
          <w:tcPr>
            <w:tcW w:type="dxa" w:w="1656"/>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[−0.783, +0.045]</w:t>
            </w:r>
          </w:p>
        </w:tc>
        <w:tc>
          <w:tcPr>
            <w:tcW w:type="dxa" w:w="360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Defensive duel activity; linear regression applies upward mean reversion (+0.14 adjustment)</w:t>
            </w:r>
          </w:p>
        </w:tc>
      </w:tr>
      <w:tr>
        <w:tc>
          <w:tcPr>
            <w:tcW w:type="dxa" w:w="1800"/>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Antoine Griezmann</w:t>
            </w:r>
          </w:p>
        </w:tc>
        <w:tc>
          <w:tcPr>
            <w:tcW w:type="dxa" w:w="122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Forward (FWD)</w:t>
            </w:r>
          </w:p>
        </w:tc>
        <w:tc>
          <w:tcPr>
            <w:tcW w:type="dxa" w:w="50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30.2</w:t>
            </w:r>
          </w:p>
        </w:tc>
        <w:tc>
          <w:tcPr>
            <w:tcW w:type="dxa" w:w="7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−0.559</w:t>
            </w:r>
          </w:p>
        </w:tc>
        <w:tc>
          <w:tcPr>
            <w:tcW w:type="dxa" w:w="7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−0.409</w:t>
            </w:r>
          </w:p>
        </w:tc>
        <w:tc>
          <w:tcPr>
            <w:tcW w:type="dxa" w:w="165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[−0.823, +0.005]</w:t>
            </w:r>
          </w:p>
        </w:tc>
        <w:tc>
          <w:tcPr>
            <w:tcW w:type="dxa" w:w="360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Suppressed origin attacking shot volume; linear regression applies upward adjustment (+0.15)</w:t>
            </w:r>
          </w:p>
        </w:tc>
      </w:tr>
      <w:tr>
        <w:tc>
          <w:tcPr>
            <w:tcW w:type="dxa" w:w="1800"/>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Francisco Trincão</w:t>
            </w:r>
          </w:p>
        </w:tc>
        <w:tc>
          <w:tcPr>
            <w:tcW w:type="dxa" w:w="122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Winger (FWD)</w:t>
            </w:r>
          </w:p>
        </w:tc>
        <w:tc>
          <w:tcPr>
            <w:tcW w:type="dxa" w:w="504"/>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21.4</w:t>
            </w:r>
          </w:p>
        </w:tc>
        <w:tc>
          <w:tcPr>
            <w:tcW w:type="dxa" w:w="7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−0.634</w:t>
            </w:r>
          </w:p>
        </w:tc>
        <w:tc>
          <w:tcPr>
            <w:tcW w:type="dxa" w:w="792"/>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−0.469</w:t>
            </w:r>
          </w:p>
        </w:tc>
        <w:tc>
          <w:tcPr>
            <w:tcW w:type="dxa" w:w="1656"/>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[−0.883, −0.055]</w:t>
            </w:r>
          </w:p>
        </w:tc>
        <w:tc>
          <w:tcPr>
            <w:tcW w:type="dxa" w:w="360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Wing progression volume in limited minutes; linear regression applies upward adjustment (+0.16)</w:t>
            </w:r>
          </w:p>
        </w:tc>
      </w:tr>
      <w:tr>
        <w:tc>
          <w:tcPr>
            <w:tcW w:type="dxa" w:w="1800"/>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Martin Braithwaite</w:t>
            </w:r>
          </w:p>
        </w:tc>
        <w:tc>
          <w:tcPr>
            <w:tcW w:type="dxa" w:w="122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Forward (FWD)</w:t>
            </w:r>
          </w:p>
        </w:tc>
        <w:tc>
          <w:tcPr>
            <w:tcW w:type="dxa" w:w="504"/>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29.9</w:t>
            </w:r>
          </w:p>
        </w:tc>
        <w:tc>
          <w:tcPr>
            <w:tcW w:type="dxa" w:w="7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−1.034</w:t>
            </w:r>
          </w:p>
        </w:tc>
        <w:tc>
          <w:tcPr>
            <w:tcW w:type="dxa" w:w="792"/>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−0.789</w:t>
            </w:r>
          </w:p>
        </w:tc>
        <w:tc>
          <w:tcPr>
            <w:tcW w:type="dxa" w:w="1656"/>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[−1.203, −0.375]</w:t>
            </w:r>
          </w:p>
        </w:tc>
        <w:tc>
          <w:tcPr>
            <w:tcW w:type="dxa" w:w="360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Low origin attacking box volume; linear mean reversion applies upward adjustment (+0.24)</w:t>
            </w:r>
          </w:p>
        </w:tc>
      </w:tr>
    </w:tbl>
    <w:p>
      <w:pPr>
        <w:spacing w:before="60" w:after="16"/>
        <w:ind w:firstLine="0"/>
        <w:jc w:val="center"/>
      </w:pPr>
      <w:r>
        <w:rPr>
          <w:rFonts w:ascii="Times New Roman" w:hAnsi="Times New Roman"/>
          <w:b/>
          <w:i w:val="0"/>
          <w:sz w:val="17"/>
          <w:rFonts w:ascii="Times New Roman" w:hAnsi="Times New Roman" w:cs="Times New Roman"/>
        </w:rPr>
        <w:t>TABLE S-V</w:t>
      </w:r>
    </w:p>
    <w:p>
      <w:pPr>
        <w:spacing w:after="24"/>
        <w:ind w:firstLine="0"/>
        <w:jc w:val="center"/>
      </w:pPr>
      <w:r>
        <w:rPr>
          <w:rFonts w:ascii="Times New Roman" w:hAnsi="Times New Roman"/>
          <w:b/>
          <w:i w:val="0"/>
          <w:sz w:val="16"/>
          <w:rFonts w:ascii="Times New Roman" w:hAnsi="Times New Roman" w:cs="Times New Roman"/>
        </w:rPr>
        <w:t>ROBUSTNESS CHECK OF EXTERNAL CONSTRUCT VALIDITY ACROSS ALTERNATIVE PROSPECTIVE TARGETS IN DESIGN A (SPEARMAN Ρ AND 95% BOOTSTRAP CONFIDENCE INTERVALS)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D1D5DB"/>
          <w:insideV w:val="none"/>
          <w:left w:val="none"/>
          <w:right w:val="none"/>
        </w:tblBorders>
      </w:tblPr>
      <w:tblGrid>
        <w:gridCol w:w="1491"/>
        <w:gridCol w:w="1491"/>
        <w:gridCol w:w="1491"/>
        <w:gridCol w:w="1491"/>
        <w:gridCol w:w="1491"/>
        <w:gridCol w:w="1491"/>
        <w:gridCol w:w="1491"/>
      </w:tblGrid>
      <w:tr>
        <w:tc>
          <w:tcPr>
            <w:tcW w:type="dxa" w:w="1944"/>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Tactical Position Group</w:t>
            </w:r>
          </w:p>
        </w:tc>
        <w:tc>
          <w:tcPr>
            <w:tcW w:type="dxa" w:w="1368"/>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Transitions (n)</w:t>
            </w:r>
          </w:p>
        </w:tc>
        <w:tc>
          <w:tcPr>
            <w:tcW w:type="dxa" w:w="1800"/>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Subsequent Minutes</w:t>
            </w:r>
          </w:p>
        </w:tc>
        <w:tc>
          <w:tcPr>
            <w:tcW w:type="dxa" w:w="1728"/>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Matches Share</w:t>
            </w:r>
          </w:p>
        </w:tc>
        <w:tc>
          <w:tcPr>
            <w:tcW w:type="dxa" w:w="1728"/>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Squad Availability</w:t>
            </w:r>
          </w:p>
        </w:tc>
        <w:tc>
          <w:tcPr>
            <w:tcW w:type="dxa" w:w="1800"/>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On-Pitch Net GD/Match</w:t>
            </w:r>
          </w:p>
        </w:tc>
        <w:tc>
          <w:tcPr>
            <w:tcW w:type="dxa" w:w="1728"/>
            <w:shd w:fill="F3F4F6"/>
            <w:tcMar>
              <w:top w:w="10" w:type="dxa"/>
              <w:bottom w:w="10" w:type="dxa"/>
              <w:left w:w="35" w:type="dxa"/>
              <w:right w:w="35" w:type="dxa"/>
            </w:tcMar>
          </w:tcPr>
          <w:p>
            <w:pPr>
              <w:spacing w:after="0"/>
              <w:jc w:val="center"/>
            </w:pPr>
            <w:r/>
            <w:r>
              <w:rPr>
                <w:rFonts w:ascii="Times New Roman" w:hAnsi="Times New Roman"/>
                <w:b/>
                <w:i w:val="0"/>
                <w:sz w:val="14"/>
                <w:rFonts w:ascii="Times New Roman" w:hAnsi="Times New Roman" w:cs="Times New Roman"/>
              </w:rPr>
              <w:t>Transfermarkt Valuation</w:t>
            </w:r>
          </w:p>
        </w:tc>
      </w:tr>
      <w:tr>
        <w:tc>
          <w:tcPr>
            <w:tcW w:type="dxa" w:w="1944"/>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Forwards (FWD)</w:t>
            </w:r>
          </w:p>
        </w:tc>
        <w:tc>
          <w:tcPr>
            <w:tcW w:type="dxa" w:w="1368"/>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35 (Val: 41)</w:t>
            </w:r>
          </w:p>
        </w:tc>
        <w:tc>
          <w:tcPr>
            <w:tcW w:type="dxa" w:w="180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+0.727 [+0.56, +0.81]</w:t>
            </w:r>
          </w:p>
        </w:tc>
        <w:tc>
          <w:tcPr>
            <w:tcW w:type="dxa" w:w="1728"/>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+0.688 [+0.43, +0.84]</w:t>
            </w:r>
          </w:p>
        </w:tc>
        <w:tc>
          <w:tcPr>
            <w:tcW w:type="dxa" w:w="1728"/>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+0.757 [+0.54, +0.87]</w:t>
            </w:r>
          </w:p>
        </w:tc>
        <w:tc>
          <w:tcPr>
            <w:tcW w:type="dxa" w:w="180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+0.105 [−0.25, +0.45]</w:t>
            </w:r>
          </w:p>
        </w:tc>
        <w:tc>
          <w:tcPr>
            <w:tcW w:type="dxa" w:w="1728"/>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+0.787 [+0.63, +0.88]</w:t>
            </w:r>
          </w:p>
        </w:tc>
      </w:tr>
      <w:tr>
        <w:tc>
          <w:tcPr>
            <w:tcW w:type="dxa" w:w="1944"/>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Midfielders (MID)</w:t>
            </w:r>
          </w:p>
        </w:tc>
        <w:tc>
          <w:tcPr>
            <w:tcW w:type="dxa" w:w="1368"/>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45 (Val: 53)</w:t>
            </w:r>
          </w:p>
        </w:tc>
        <w:tc>
          <w:tcPr>
            <w:tcW w:type="dxa" w:w="180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−0.014 [−0.32, +0.30]</w:t>
            </w:r>
          </w:p>
        </w:tc>
        <w:tc>
          <w:tcPr>
            <w:tcW w:type="dxa" w:w="1728"/>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−0.198 [−0.48, +0.11]</w:t>
            </w:r>
          </w:p>
        </w:tc>
        <w:tc>
          <w:tcPr>
            <w:tcW w:type="dxa" w:w="1728"/>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−0.058 [−0.38, +0.24]</w:t>
            </w:r>
          </w:p>
        </w:tc>
        <w:tc>
          <w:tcPr>
            <w:tcW w:type="dxa" w:w="180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+0.021 [−0.26, +0.30]</w:t>
            </w:r>
          </w:p>
        </w:tc>
        <w:tc>
          <w:tcPr>
            <w:tcW w:type="dxa" w:w="1728"/>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+0.080 [−0.20, +0.34]</w:t>
            </w:r>
          </w:p>
        </w:tc>
      </w:tr>
      <w:tr>
        <w:tc>
          <w:tcPr>
            <w:tcW w:type="dxa" w:w="1944"/>
            <w:shd w:fill="FFFFFF"/>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Defenders (DEF)</w:t>
            </w:r>
          </w:p>
        </w:tc>
        <w:tc>
          <w:tcPr>
            <w:tcW w:type="dxa" w:w="1368"/>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63 (Val: 68)</w:t>
            </w:r>
          </w:p>
        </w:tc>
        <w:tc>
          <w:tcPr>
            <w:tcW w:type="dxa" w:w="180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+0.080 [−0.19, +0.34]</w:t>
            </w:r>
          </w:p>
        </w:tc>
        <w:tc>
          <w:tcPr>
            <w:tcW w:type="dxa" w:w="1728"/>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+0.081 [−0.18, +0.32]</w:t>
            </w:r>
          </w:p>
        </w:tc>
        <w:tc>
          <w:tcPr>
            <w:tcW w:type="dxa" w:w="1728"/>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+0.152 [−0.11, +0.38]</w:t>
            </w:r>
          </w:p>
        </w:tc>
        <w:tc>
          <w:tcPr>
            <w:tcW w:type="dxa" w:w="1800"/>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+0.116 [−0.16, +0.37]</w:t>
            </w:r>
          </w:p>
        </w:tc>
        <w:tc>
          <w:tcPr>
            <w:tcW w:type="dxa" w:w="1728"/>
            <w:shd w:fill="FFFFFF"/>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+0.077 [−0.17, +0.31]</w:t>
            </w:r>
          </w:p>
        </w:tc>
      </w:tr>
      <w:tr>
        <w:tc>
          <w:tcPr>
            <w:tcW w:type="dxa" w:w="1944"/>
            <w:shd w:fill="F9FAFB"/>
            <w:tcMar>
              <w:top w:w="10" w:type="dxa"/>
              <w:bottom w:w="10" w:type="dxa"/>
              <w:left w:w="35" w:type="dxa"/>
              <w:right w:w="35" w:type="dxa"/>
            </w:tcMar>
          </w:tcPr>
          <w:p>
            <w:pPr>
              <w:spacing w:after="0"/>
              <w:jc w:val="left"/>
            </w:pPr>
            <w:r/>
            <w:r>
              <w:rPr>
                <w:rFonts w:ascii="Times New Roman" w:hAnsi="Times New Roman"/>
                <w:b w:val="0"/>
                <w:i w:val="0"/>
                <w:sz w:val="14"/>
                <w:rFonts w:ascii="Times New Roman" w:hAnsi="Times New Roman" w:cs="Times New Roman"/>
              </w:rPr>
              <w:t>Pooled Outfield Cohort</w:t>
            </w:r>
          </w:p>
        </w:tc>
        <w:tc>
          <w:tcPr>
            <w:tcW w:type="dxa" w:w="1368"/>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143 (Val: 162)</w:t>
            </w:r>
          </w:p>
        </w:tc>
        <w:tc>
          <w:tcPr>
            <w:tcW w:type="dxa" w:w="180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+0.307 [+0.14, +0.45]</w:t>
            </w:r>
          </w:p>
        </w:tc>
        <w:tc>
          <w:tcPr>
            <w:tcW w:type="dxa" w:w="1728"/>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+0.158 [−0.03, +0.33]</w:t>
            </w:r>
          </w:p>
        </w:tc>
        <w:tc>
          <w:tcPr>
            <w:tcW w:type="dxa" w:w="1728"/>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+0.308 [+0.14, +0.46]</w:t>
            </w:r>
          </w:p>
        </w:tc>
        <w:tc>
          <w:tcPr>
            <w:tcW w:type="dxa" w:w="1800"/>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+0.070 [−0.09, +0.25]</w:t>
            </w:r>
          </w:p>
        </w:tc>
        <w:tc>
          <w:tcPr>
            <w:tcW w:type="dxa" w:w="1728"/>
            <w:shd w:fill="F9FAFB"/>
            <w:tcMar>
              <w:top w:w="10" w:type="dxa"/>
              <w:bottom w:w="10" w:type="dxa"/>
              <w:left w:w="35" w:type="dxa"/>
              <w:right w:w="35" w:type="dxa"/>
            </w:tcMar>
          </w:tcPr>
          <w:p>
            <w:pPr>
              <w:spacing w:after="0"/>
              <w:jc w:val="center"/>
            </w:pPr>
            <w:r/>
            <w:r>
              <w:rPr>
                <w:rFonts w:ascii="Times New Roman" w:hAnsi="Times New Roman"/>
                <w:b w:val="0"/>
                <w:i w:val="0"/>
                <w:sz w:val="14"/>
                <w:rFonts w:ascii="Times New Roman" w:hAnsi="Times New Roman" w:cs="Times New Roman"/>
              </w:rPr>
              <w:t>+0.406 [+0.27, +0.53]</w:t>
            </w:r>
          </w:p>
        </w:tc>
      </w:tr>
    </w:tbl>
    <w:p>
      <w:pPr>
        <w:sectPr>
          <w:headerReference w:type="default" r:id="rId76"/>
          <w:footerReference w:type="default" r:id="rId77"/>
          <w:type w:val="continuous"/>
          <w:pgSz w:w="12240" w:h="15840"/>
          <w:pgMar w:top="1080" w:right="900" w:bottom="1080" w:left="900" w:header="720" w:footer="720" w:gutter="0"/>
          <w:docGrid w:linePitch="360"/>
          <w:cols w:num="1" w:space="360"/>
        </w:sectPr>
      </w:pPr>
    </w:p>
    <w:p>
      <w:pPr>
        <w:spacing w:before="160" w:after="50"/>
        <w:ind w:firstLine="0"/>
        <w:jc w:val="center"/>
      </w:pPr>
      <w:r>
        <w:rPr>
          <w:rFonts w:ascii="Times New Roman" w:hAnsi="Times New Roman"/>
          <w:b/>
          <w:i w:val="0"/>
          <w:sz w:val="21"/>
          <w:rFonts w:ascii="Times New Roman" w:hAnsi="Times New Roman" w:cs="Times New Roman"/>
        </w:rPr>
        <w:t>REFERENCES</w:t>
      </w:r>
    </w:p>
    <w:p>
      <w:pPr>
        <w:spacing w:before="0" w:after="10" w:line="240" w:lineRule="auto"/>
        <w:ind w:left="360" w:hanging="360"/>
        <w:jc w:val="both"/>
      </w:pPr>
      <w:r>
        <w:rPr>
          <w:rFonts w:ascii="Times New Roman" w:hAnsi="Times New Roman"/>
          <w:sz w:val="14"/>
        </w:rPr>
        <w:t>[1] FIFA, "FIFA Global Transfer Report 2023: A review of international player transfers," Zurich, Switzerland, Tech. Rep., 2024.</w:t>
      </w:r>
    </w:p>
    <w:p>
      <w:pPr>
        <w:spacing w:before="0" w:after="10" w:line="240" w:lineRule="auto"/>
        <w:ind w:left="360" w:hanging="360"/>
        <w:jc w:val="both"/>
      </w:pPr>
      <w:r>
        <w:rPr>
          <w:rFonts w:ascii="Times New Roman" w:hAnsi="Times New Roman"/>
          <w:sz w:val="14"/>
        </w:rPr>
        <w:t>[2] D. Piggott and B. Muir, "Modern approaches to scouting and recruitment," in Science and Soccer: Developing Elite Performers, 4th ed., A. M. Williams and P. R. Ford, Eds. London, UK: Routledge, 2023, pp. 135-150.</w:t>
      </w:r>
    </w:p>
    <w:p>
      <w:pPr>
        <w:spacing w:before="0" w:after="10" w:line="240" w:lineRule="auto"/>
        <w:ind w:left="360" w:hanging="360"/>
        <w:jc w:val="both"/>
      </w:pPr>
      <w:r>
        <w:rPr>
          <w:rFonts w:ascii="Times New Roman" w:hAnsi="Times New Roman"/>
          <w:sz w:val="14"/>
        </w:rPr>
        <w:t>[3] J. Fernández, L. Bornn, and D. Cervone, "A framework for the fine-grained evaluation of the instantaneous expected value of soccer possessions," Machine Learning, vol. 110, no. 6, pp. 1389-1427, 2021, doi: 10.1007/s10994-021-05989-6.</w:t>
      </w:r>
    </w:p>
    <w:p>
      <w:pPr>
        <w:spacing w:before="0" w:after="10" w:line="240" w:lineRule="auto"/>
        <w:ind w:left="360" w:hanging="360"/>
        <w:jc w:val="both"/>
      </w:pPr>
      <w:r>
        <w:rPr>
          <w:rFonts w:ascii="Times New Roman" w:hAnsi="Times New Roman"/>
          <w:sz w:val="14"/>
        </w:rPr>
        <w:t>[4] C.-L. Hwang and K. Yoon, Multiple Attribute Decision Making: Methods and Applications. Berlin, Germany: Springer-Verlag, 1981, doi: 10.1007/978-3-642-48318-9.</w:t>
      </w:r>
    </w:p>
    <w:p>
      <w:pPr>
        <w:spacing w:before="0" w:after="10" w:line="240" w:lineRule="auto"/>
        <w:ind w:left="360" w:hanging="360"/>
        <w:jc w:val="both"/>
      </w:pPr>
      <w:r>
        <w:rPr>
          <w:rFonts w:ascii="Times New Roman" w:hAnsi="Times New Roman"/>
          <w:sz w:val="14"/>
        </w:rPr>
        <w:t>[5] S. Opricovic and G.-H. Tzeng, "Compromise solution by MCDM methods: A comparative analysis of VIKOR and TOPSIS," Eur. J. Oper. Res., vol. 156, no. 2, pp. 445-455, 2004, doi: 10.1016/S0377-2217(03)00020-1.</w:t>
      </w:r>
    </w:p>
    <w:p>
      <w:pPr>
        <w:spacing w:before="0" w:after="10" w:line="240" w:lineRule="auto"/>
        <w:ind w:left="360" w:hanging="360"/>
        <w:jc w:val="both"/>
      </w:pPr>
      <w:r>
        <w:rPr>
          <w:rFonts w:ascii="Times New Roman" w:hAnsi="Times New Roman"/>
          <w:sz w:val="14"/>
        </w:rPr>
        <w:t>[6] D. Zhou, J. W. L. Keogh, Y. Ma, R. K. Y. Tong, A. R. Khan, and N. R. Jennings, "Artificial intelligence in sport: A narrative review of applications, challenges and future trends," J. Sports Sci., vol. 43, no. 12, pp. 1162-1178, 2025, doi: 10.1080/02640414.2025.2518694.</w:t>
      </w:r>
    </w:p>
    <w:p>
      <w:pPr>
        <w:spacing w:before="0" w:after="10" w:line="240" w:lineRule="auto"/>
        <w:ind w:left="360" w:hanging="360"/>
        <w:jc w:val="both"/>
      </w:pPr>
      <w:r>
        <w:rPr>
          <w:rFonts w:ascii="Times New Roman" w:hAnsi="Times New Roman"/>
          <w:sz w:val="14"/>
        </w:rPr>
        <w:t>[7] A. Li and W. Huang, "A comprehensive survey of artificial intelligence and cloud computing applications in the sports industry," Wireless Netw., vol. 30, no. 8, pp. 6973-6984, 2024, doi: 10.1007/s11276-023-03567-3.</w:t>
      </w:r>
    </w:p>
    <w:p>
      <w:pPr>
        <w:spacing w:before="0" w:after="10" w:line="240" w:lineRule="auto"/>
        <w:ind w:left="360" w:hanging="360"/>
        <w:jc w:val="both"/>
      </w:pPr>
      <w:r>
        <w:rPr>
          <w:rFonts w:ascii="Times New Roman" w:hAnsi="Times New Roman"/>
          <w:sz w:val="14"/>
        </w:rPr>
        <w:t>[8] L. Pappalardo, P. Cintia, P. Ferragina, E. Massucco, D. Pedreschi, and F. Giannotti, "PlayeRank: Data-driven performance evaluation and player ranking in soccer via a machine learning approach," ACM Trans. Intell. Syst. Technol., vol. 10, no. 5, pp. 1-27, 2019, doi: 10.1145/3343172.</w:t>
      </w:r>
    </w:p>
    <w:p>
      <w:pPr>
        <w:spacing w:before="0" w:after="10" w:line="240" w:lineRule="auto"/>
        <w:ind w:left="360" w:hanging="360"/>
        <w:jc w:val="both"/>
      </w:pPr>
      <w:r>
        <w:rPr>
          <w:rFonts w:ascii="Times New Roman" w:hAnsi="Times New Roman"/>
          <w:sz w:val="14"/>
        </w:rPr>
        <w:t>[9] T. Decroos, L. Bransen, J. Van Haaren, and J. Davis, "Actions speak louder than goals: Valuing player actions in soccer," in Proc. 25th ACM SIGKDD Int. Conf. Knowl. Discovery Data Mining, 2019, pp. 1851-1861, doi: 10.1145/3292500.3330758.</w:t>
      </w:r>
    </w:p>
    <w:p>
      <w:pPr>
        <w:spacing w:before="0" w:after="10" w:line="240" w:lineRule="auto"/>
        <w:ind w:left="360" w:hanging="360"/>
        <w:jc w:val="both"/>
      </w:pPr>
      <w:r>
        <w:rPr>
          <w:rFonts w:ascii="Times New Roman" w:hAnsi="Times New Roman"/>
          <w:sz w:val="14"/>
        </w:rPr>
        <w:t>[10] J. Davis, L. Bransen, L. Devos, A. Jaspers, W. Meert, P. Robberechts, J. Van Haaren, and M. Van Roy, "Methodology and evaluation in sports analytics: Challenges, approaches, and lessons learned," Machine Learning, vol. 113, no. 9, pp. 6977-7010, 2024, doi: 10.1007/s10994-024-06585-0.</w:t>
      </w:r>
    </w:p>
    <w:p>
      <w:pPr>
        <w:spacing w:before="0" w:after="10" w:line="240" w:lineRule="auto"/>
        <w:ind w:left="360" w:hanging="360"/>
        <w:jc w:val="both"/>
      </w:pPr>
      <w:r>
        <w:rPr>
          <w:rFonts w:ascii="Times New Roman" w:hAnsi="Times New Roman"/>
          <w:sz w:val="14"/>
        </w:rPr>
        <w:t>[11] T. Hastie, R. Tibshirani, and J. Friedman, The Elements of Statistical Learning: Data Mining, Inference, and Prediction, 2nd ed. New York, NY: Springer, 2009, doi: 10.1007/978-0-387-84858-7.</w:t>
      </w:r>
    </w:p>
    <w:p>
      <w:pPr>
        <w:spacing w:before="0" w:after="10" w:line="240" w:lineRule="auto"/>
        <w:ind w:left="360" w:hanging="360"/>
        <w:jc w:val="both"/>
      </w:pPr>
      <w:r>
        <w:rPr>
          <w:rFonts w:ascii="Times New Roman" w:hAnsi="Times New Roman"/>
          <w:sz w:val="14"/>
        </w:rPr>
        <w:t>[12] F. M. Lord and M. R. Novick, Statistical Theories of Mental Test Scores. Reading, MA: Addison-Wesley, 1968.</w:t>
      </w:r>
    </w:p>
    <w:p>
      <w:pPr>
        <w:spacing w:before="0" w:after="10" w:line="240" w:lineRule="auto"/>
        <w:ind w:left="360" w:hanging="360"/>
        <w:jc w:val="both"/>
      </w:pPr>
      <w:r>
        <w:rPr>
          <w:rFonts w:ascii="Times New Roman" w:hAnsi="Times New Roman"/>
          <w:sz w:val="14"/>
        </w:rPr>
        <w:t>[13] V. Vovk, A. Gammerman, and G. Shafer, Algorithmic Learning in a Random World. New York, NY: Springer, 2005, doi: 10.1007/b106715.</w:t>
      </w:r>
    </w:p>
    <w:p>
      <w:pPr>
        <w:spacing w:before="0" w:after="10" w:line="240" w:lineRule="auto"/>
        <w:ind w:left="360" w:hanging="360"/>
        <w:jc w:val="both"/>
      </w:pPr>
      <w:r>
        <w:rPr>
          <w:rFonts w:ascii="Times New Roman" w:hAnsi="Times New Roman"/>
          <w:sz w:val="14"/>
        </w:rPr>
        <w:t>[14] A. N. Angelopoulos and S. Bates, "Conformal prediction: A gentle introduction," Found. Trends Mach. Learn., vol. 16, no. 4, pp. 494-591, 2023, doi: 10.1561/2200000101.</w:t>
      </w:r>
    </w:p>
    <w:p>
      <w:pPr>
        <w:spacing w:before="0" w:after="10" w:line="240" w:lineRule="auto"/>
        <w:ind w:left="360" w:hanging="360"/>
        <w:jc w:val="both"/>
      </w:pPr>
      <w:r>
        <w:rPr>
          <w:rFonts w:ascii="Times New Roman" w:hAnsi="Times New Roman"/>
          <w:sz w:val="14"/>
        </w:rPr>
        <w:t>[15] A. Franks, A. D'Amour, D. Cervone, and L. Bornn, "Meta-analytics: Tools for understanding the statistical properties of sports metrics," J. Quant. Anal. Sports, vol. 12, no. 4, pp. 151-165, 2016, doi: 10.1515/jqas-2016-0098.</w:t>
      </w:r>
    </w:p>
    <w:p>
      <w:pPr>
        <w:spacing w:before="0" w:after="10" w:line="240" w:lineRule="auto"/>
        <w:ind w:left="360" w:hanging="360"/>
        <w:jc w:val="both"/>
      </w:pPr>
      <w:r>
        <w:rPr>
          <w:rFonts w:ascii="Times New Roman" w:hAnsi="Times New Roman"/>
          <w:sz w:val="14"/>
        </w:rPr>
        <w:t>[16] K. Singh, "Introducing Expected Threat (xT)," Karun.in, 2019. [Online]. Available: https://karun.in/blog/expected-threat.html</w:t>
      </w:r>
    </w:p>
    <w:p>
      <w:pPr>
        <w:spacing w:before="0" w:after="10" w:line="240" w:lineRule="auto"/>
        <w:ind w:left="360" w:hanging="360"/>
        <w:jc w:val="both"/>
      </w:pPr>
      <w:r>
        <w:rPr>
          <w:rFonts w:ascii="Times New Roman" w:hAnsi="Times New Roman"/>
          <w:sz w:val="14"/>
        </w:rPr>
        <w:t>[17] P. Lucey, A. Bialkowski, M. Monfort, P. Carr, and I. Matthews, "Quality vs. Quantity: Improved Shot Prediction in Soccer using Strategic Features from Spatiotemporal Data," in Proc. 9th MIT Sloan Sports Anal. Conf., Boston, MA, 2015, pp. 1-9.</w:t>
      </w:r>
    </w:p>
    <w:p>
      <w:pPr>
        <w:spacing w:before="0" w:after="10" w:line="240" w:lineRule="auto"/>
        <w:ind w:left="360" w:hanging="360"/>
        <w:jc w:val="both"/>
      </w:pPr>
      <w:r>
        <w:rPr>
          <w:rFonts w:ascii="Times New Roman" w:hAnsi="Times New Roman"/>
          <w:sz w:val="14"/>
        </w:rPr>
        <w:t>[18] R. Rein and D. Memmert, "Big data and tactical analysis in elite soccer: Future challenges and opportunities for sports science," SpringerPlus, vol. 5, no. 1, p. 1410, 2016, doi: 10.1186/s40064-016-3108-2.</w:t>
      </w:r>
    </w:p>
    <w:p>
      <w:pPr>
        <w:spacing w:before="0" w:after="10" w:line="240" w:lineRule="auto"/>
        <w:ind w:left="360" w:hanging="360"/>
        <w:jc w:val="both"/>
      </w:pPr>
      <w:r>
        <w:rPr>
          <w:rFonts w:ascii="Times New Roman" w:hAnsi="Times New Roman"/>
          <w:sz w:val="14"/>
        </w:rPr>
        <w:t>[19] L. Pappalardo and P. Cintia, "Quantifying the relation between performance and success in soccer," Adv. Complex Syst., vol. 21, nos. 3-4, p. 1750014, 2018, doi: 10.1142/S021952591750014X.</w:t>
      </w:r>
    </w:p>
    <w:p>
      <w:pPr>
        <w:spacing w:before="0" w:after="10" w:line="240" w:lineRule="auto"/>
        <w:ind w:left="360" w:hanging="360"/>
        <w:jc w:val="both"/>
      </w:pPr>
      <w:r>
        <w:rPr>
          <w:rFonts w:ascii="Times New Roman" w:hAnsi="Times New Roman"/>
          <w:sz w:val="14"/>
        </w:rPr>
        <w:t>[20] G. Schauberger and A. Groll, "Predicting matches in international football tournaments with random forests," Stat. Model., vol. 18, nos. 5-6, pp. 460-482, 2018, doi: 10.1177/1471082X18799934.</w:t>
      </w:r>
    </w:p>
    <w:p>
      <w:pPr>
        <w:spacing w:before="0" w:after="10" w:line="240" w:lineRule="auto"/>
        <w:ind w:left="360" w:hanging="360"/>
        <w:jc w:val="both"/>
      </w:pPr>
      <w:r>
        <w:rPr>
          <w:rFonts w:ascii="Times New Roman" w:hAnsi="Times New Roman"/>
          <w:sz w:val="14"/>
        </w:rPr>
        <w:t>[21] R. P. Bunker and F. Thabtah, "A machine learning framework for sport result prediction," Appl. Comput. Inform., vol. 15, no. 1, pp. 27-33, 2019, doi: 10.1016/j.aci.2017.09.005.</w:t>
      </w:r>
    </w:p>
    <w:p>
      <w:pPr>
        <w:spacing w:before="0" w:after="10" w:line="240" w:lineRule="auto"/>
        <w:ind w:left="360" w:hanging="360"/>
        <w:jc w:val="both"/>
      </w:pPr>
      <w:r>
        <w:rPr>
          <w:rFonts w:ascii="Times New Roman" w:hAnsi="Times New Roman"/>
          <w:sz w:val="14"/>
        </w:rPr>
        <w:t>[22] S. Herm, H.-M. Callsen-Bracker, and H. Kreis, "When the crowd evaluates soccer players' market values: Accuracy and evaluation attributes of an online community," Sport Manage. Rev., vol. 17, no. 4, pp. 484-492, 2014, doi: 10.1016/j.smr.2013.12.006.</w:t>
      </w:r>
    </w:p>
    <w:p>
      <w:pPr>
        <w:spacing w:before="0" w:after="10" w:line="240" w:lineRule="auto"/>
        <w:ind w:left="360" w:hanging="360"/>
        <w:jc w:val="both"/>
      </w:pPr>
      <w:r>
        <w:rPr>
          <w:rFonts w:ascii="Times New Roman" w:hAnsi="Times New Roman"/>
          <w:sz w:val="14"/>
        </w:rPr>
        <w:t>[23] O. Müller, A. Simons, and M. Weinmann, "Beyond crowd judgments: Data-driven estimation of market value in association football," Eur. J. Oper. Res., vol. 263, no. 2, pp. 611-624, 2017, doi: 10.1016/j.ejor.2017.05.005.</w:t>
      </w:r>
    </w:p>
    <w:p>
      <w:pPr>
        <w:spacing w:before="0" w:after="10" w:line="240" w:lineRule="auto"/>
        <w:ind w:left="360" w:hanging="360"/>
        <w:jc w:val="both"/>
      </w:pPr>
      <w:r>
        <w:rPr>
          <w:rFonts w:ascii="Times New Roman" w:hAnsi="Times New Roman"/>
          <w:sz w:val="14"/>
        </w:rPr>
        <w:t>[24] T. Peeters, "Testing the wisdom of crowds in the field: Transfermarkt valuations and international soccer results," Int. J. Forecasting, vol. 34, no. 1, pp. 17-29, 2018, doi: 10.1016/j.ijforecast.2017.08.002.</w:t>
      </w:r>
    </w:p>
    <w:p>
      <w:pPr>
        <w:spacing w:before="0" w:after="10" w:line="240" w:lineRule="auto"/>
        <w:ind w:left="360" w:hanging="360"/>
        <w:jc w:val="both"/>
      </w:pPr>
      <w:r>
        <w:rPr>
          <w:rFonts w:ascii="Times New Roman" w:hAnsi="Times New Roman"/>
          <w:sz w:val="14"/>
        </w:rPr>
        <w:t>[25] B. Frick, "The football players' labor market: Empirical evidence from the major European leagues," Scott. J. Polit. Econ., vol. 54, no. 3, pp. 422-446, 2007, doi: 10.1111/j.1467-9485.2007.00423.x.</w:t>
      </w:r>
    </w:p>
    <w:p>
      <w:pPr>
        <w:spacing w:before="0" w:after="10" w:line="240" w:lineRule="auto"/>
        <w:ind w:left="360" w:hanging="360"/>
        <w:jc w:val="both"/>
      </w:pPr>
      <w:r>
        <w:rPr>
          <w:rFonts w:ascii="Times New Roman" w:hAnsi="Times New Roman"/>
          <w:sz w:val="14"/>
        </w:rPr>
        <w:t>[26] I. Behravan and S. M. Razavi, "A novel machine learning method for estimating football players' value in the transfer market," Soft Comput., vol. 25, no. 3, pp. 2499-2511, 2021, doi: 10.1007/s00500-020-05319-3.</w:t>
      </w:r>
    </w:p>
    <w:p>
      <w:pPr>
        <w:spacing w:before="0" w:after="10" w:line="240" w:lineRule="auto"/>
        <w:ind w:left="360" w:hanging="360"/>
        <w:jc w:val="both"/>
      </w:pPr>
      <w:r>
        <w:rPr>
          <w:rFonts w:ascii="Times New Roman" w:hAnsi="Times New Roman"/>
          <w:sz w:val="14"/>
        </w:rPr>
        <w:t>[27] K. Necibi, A.-C. Chaouche, and Z. Soukeur, "Adaptive multi-sport smart tracker for athlete talent identification," J. Ambient Intell. Humaniz. Comput., vol. 16, no. 4, pp. 667-683, 2025, doi: 10.1007/s12652-025-04973-5.</w:t>
      </w:r>
    </w:p>
    <w:p>
      <w:pPr>
        <w:spacing w:before="0" w:after="10" w:line="240" w:lineRule="auto"/>
        <w:ind w:left="360" w:hanging="360"/>
        <w:jc w:val="both"/>
      </w:pPr>
      <w:r>
        <w:rPr>
          <w:rFonts w:ascii="Times New Roman" w:hAnsi="Times New Roman"/>
          <w:sz w:val="14"/>
        </w:rPr>
        <w:t>[28] StatsBomb, "StatsBomb Open Data repository and event specification," 2024. [Online]. Available: https://github.com/statsbomb/open-data. Accessed: Oct. 11, 2026.</w:t>
      </w:r>
    </w:p>
    <w:p>
      <w:pPr>
        <w:spacing w:before="0" w:after="10" w:line="240" w:lineRule="auto"/>
        <w:ind w:left="360" w:hanging="360"/>
        <w:jc w:val="both"/>
      </w:pPr>
      <w:r>
        <w:rPr>
          <w:rFonts w:ascii="Times New Roman" w:hAnsi="Times New Roman"/>
          <w:sz w:val="14"/>
        </w:rPr>
        <w:t>[29] D. Cariboo, "Football Data from Transfermarkt," 2024. [Online]. Available: https://github.com/dcaribou/transfermarkt-datasets. Accessed: Oct. 11, 2026.</w:t>
      </w:r>
    </w:p>
    <w:p>
      <w:pPr>
        <w:spacing w:before="0" w:after="10" w:line="240" w:lineRule="auto"/>
        <w:ind w:left="360" w:hanging="360"/>
        <w:jc w:val="both"/>
      </w:pPr>
      <w:r>
        <w:rPr>
          <w:rFonts w:ascii="Times New Roman" w:hAnsi="Times New Roman"/>
          <w:sz w:val="14"/>
        </w:rPr>
        <w:t>[30] R. J. Hyndman and G. Athanasopoulos, Forecasting: Principles and Practice, 3rd ed. Melbourne, Australia: OTexts, 2021. [Online]. Available: https://otexts.com/fpp3/</w:t>
      </w:r>
    </w:p>
    <w:p>
      <w:pPr>
        <w:spacing w:before="0" w:after="10" w:line="240" w:lineRule="auto"/>
        <w:ind w:left="360" w:hanging="360"/>
        <w:jc w:val="both"/>
      </w:pPr>
      <w:r>
        <w:rPr>
          <w:rFonts w:ascii="Times New Roman" w:hAnsi="Times New Roman"/>
          <w:sz w:val="14"/>
        </w:rPr>
        <w:t>[31] B. Efron and R. J. Tibshirani, An Introduction to the Bootstrap. New York, NY: Chapman &amp; Hall/CRC, 1993, doi: 10.1007/978-1-4899-4541-9.</w:t>
      </w:r>
    </w:p>
    <w:p>
      <w:pPr>
        <w:spacing w:before="0" w:after="10" w:line="240" w:lineRule="auto"/>
        <w:ind w:left="360" w:hanging="360"/>
        <w:jc w:val="both"/>
      </w:pPr>
      <w:r>
        <w:rPr>
          <w:rFonts w:ascii="Times New Roman" w:hAnsi="Times New Roman"/>
          <w:sz w:val="14"/>
        </w:rPr>
        <w:t>[32] H. Zou and T. Hastie, "Regularization and variable selection via the elastic net," J. R. Stat. Soc. Ser. B, vol. 67, no. 2, pp. 301-320, 2005, doi: 10.1111/j.1467-9868.2005.00503.x.</w:t>
      </w:r>
    </w:p>
    <w:p>
      <w:pPr>
        <w:spacing w:before="0" w:after="10" w:line="240" w:lineRule="auto"/>
        <w:ind w:left="360" w:hanging="360"/>
        <w:jc w:val="both"/>
      </w:pPr>
      <w:r>
        <w:rPr>
          <w:rFonts w:ascii="Times New Roman" w:hAnsi="Times New Roman"/>
          <w:sz w:val="14"/>
        </w:rPr>
        <w:t>[33] L. Breiman, "Random forests," Mach. Learn., vol. 45, no. 1, pp. 5-32, 2001, doi: 10.1023/A:1010933404324.</w:t>
      </w:r>
    </w:p>
    <w:p>
      <w:pPr>
        <w:spacing w:before="0" w:after="10" w:line="240" w:lineRule="auto"/>
        <w:ind w:left="360" w:hanging="360"/>
        <w:jc w:val="both"/>
      </w:pPr>
      <w:r>
        <w:rPr>
          <w:rFonts w:ascii="Times New Roman" w:hAnsi="Times New Roman"/>
          <w:sz w:val="14"/>
        </w:rPr>
        <w:t>[34] G. Ke, Q. Meng, T. Finley, T. Wang, W. Chen, W. Ma, Q. Ye, and T.-Y. Liu, "LightGBM: A highly efficient gradient boosting decision tree," in Adv. Neural Inf. Process. Syst., vol. 30, 2017, pp. 3146-3154.</w:t>
      </w:r>
    </w:p>
    <w:sectPr w:rsidR="00FC693F" w:rsidRPr="0006063C" w:rsidSect="00034616">
      <w:headerReference w:type="default" r:id="rId78"/>
      <w:footerReference w:type="default" r:id="rId79"/>
      <w:type w:val="continuous"/>
      <w:pgSz w:w="12240" w:h="15840"/>
      <w:pgMar w:top="1080" w:right="900" w:bottom="1080" w:left="90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50"/>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image" Target="media/image1.png"/><Relationship Id="rId28" Type="http://schemas.openxmlformats.org/officeDocument/2006/relationships/header" Target="header10.xml"/><Relationship Id="rId29" Type="http://schemas.openxmlformats.org/officeDocument/2006/relationships/footer" Target="footer10.xml"/><Relationship Id="rId30" Type="http://schemas.openxmlformats.org/officeDocument/2006/relationships/image" Target="media/image2.png"/><Relationship Id="rId31" Type="http://schemas.openxmlformats.org/officeDocument/2006/relationships/header" Target="header11.xml"/><Relationship Id="rId32" Type="http://schemas.openxmlformats.org/officeDocument/2006/relationships/footer" Target="footer11.xml"/><Relationship Id="rId33" Type="http://schemas.openxmlformats.org/officeDocument/2006/relationships/header" Target="header12.xml"/><Relationship Id="rId34" Type="http://schemas.openxmlformats.org/officeDocument/2006/relationships/footer" Target="footer12.xml"/><Relationship Id="rId35" Type="http://schemas.openxmlformats.org/officeDocument/2006/relationships/header" Target="header13.xml"/><Relationship Id="rId36" Type="http://schemas.openxmlformats.org/officeDocument/2006/relationships/footer" Target="footer13.xml"/><Relationship Id="rId37" Type="http://schemas.openxmlformats.org/officeDocument/2006/relationships/image" Target="media/image3.png"/><Relationship Id="rId38" Type="http://schemas.openxmlformats.org/officeDocument/2006/relationships/header" Target="header14.xml"/><Relationship Id="rId39" Type="http://schemas.openxmlformats.org/officeDocument/2006/relationships/footer" Target="footer14.xml"/><Relationship Id="rId40" Type="http://schemas.openxmlformats.org/officeDocument/2006/relationships/header" Target="header15.xml"/><Relationship Id="rId41" Type="http://schemas.openxmlformats.org/officeDocument/2006/relationships/footer" Target="footer15.xml"/><Relationship Id="rId42" Type="http://schemas.openxmlformats.org/officeDocument/2006/relationships/header" Target="header16.xml"/><Relationship Id="rId43" Type="http://schemas.openxmlformats.org/officeDocument/2006/relationships/footer" Target="footer16.xml"/><Relationship Id="rId44" Type="http://schemas.openxmlformats.org/officeDocument/2006/relationships/header" Target="header17.xml"/><Relationship Id="rId45" Type="http://schemas.openxmlformats.org/officeDocument/2006/relationships/footer" Target="footer17.xml"/><Relationship Id="rId46" Type="http://schemas.openxmlformats.org/officeDocument/2006/relationships/image" Target="media/image4.png"/><Relationship Id="rId47" Type="http://schemas.openxmlformats.org/officeDocument/2006/relationships/header" Target="header18.xml"/><Relationship Id="rId48" Type="http://schemas.openxmlformats.org/officeDocument/2006/relationships/footer" Target="footer18.xml"/><Relationship Id="rId49" Type="http://schemas.openxmlformats.org/officeDocument/2006/relationships/header" Target="header19.xml"/><Relationship Id="rId50" Type="http://schemas.openxmlformats.org/officeDocument/2006/relationships/footer" Target="footer19.xml"/><Relationship Id="rId51" Type="http://schemas.openxmlformats.org/officeDocument/2006/relationships/image" Target="media/image5.png"/><Relationship Id="rId52" Type="http://schemas.openxmlformats.org/officeDocument/2006/relationships/header" Target="header20.xml"/><Relationship Id="rId53" Type="http://schemas.openxmlformats.org/officeDocument/2006/relationships/footer" Target="footer20.xml"/><Relationship Id="rId54" Type="http://schemas.openxmlformats.org/officeDocument/2006/relationships/header" Target="header21.xml"/><Relationship Id="rId55" Type="http://schemas.openxmlformats.org/officeDocument/2006/relationships/footer" Target="footer21.xml"/><Relationship Id="rId56" Type="http://schemas.openxmlformats.org/officeDocument/2006/relationships/header" Target="header22.xml"/><Relationship Id="rId57" Type="http://schemas.openxmlformats.org/officeDocument/2006/relationships/footer" Target="footer22.xml"/><Relationship Id="rId58" Type="http://schemas.openxmlformats.org/officeDocument/2006/relationships/header" Target="header23.xml"/><Relationship Id="rId59" Type="http://schemas.openxmlformats.org/officeDocument/2006/relationships/footer" Target="footer23.xml"/><Relationship Id="rId60" Type="http://schemas.openxmlformats.org/officeDocument/2006/relationships/header" Target="header24.xml"/><Relationship Id="rId61" Type="http://schemas.openxmlformats.org/officeDocument/2006/relationships/footer" Target="footer24.xml"/><Relationship Id="rId62" Type="http://schemas.openxmlformats.org/officeDocument/2006/relationships/image" Target="media/image6.png"/><Relationship Id="rId63" Type="http://schemas.openxmlformats.org/officeDocument/2006/relationships/header" Target="header25.xml"/><Relationship Id="rId64" Type="http://schemas.openxmlformats.org/officeDocument/2006/relationships/footer" Target="footer25.xml"/><Relationship Id="rId65" Type="http://schemas.openxmlformats.org/officeDocument/2006/relationships/header" Target="header26.xml"/><Relationship Id="rId66" Type="http://schemas.openxmlformats.org/officeDocument/2006/relationships/footer" Target="footer26.xml"/><Relationship Id="rId67" Type="http://schemas.openxmlformats.org/officeDocument/2006/relationships/image" Target="media/image7.png"/><Relationship Id="rId68" Type="http://schemas.openxmlformats.org/officeDocument/2006/relationships/header" Target="header27.xml"/><Relationship Id="rId69" Type="http://schemas.openxmlformats.org/officeDocument/2006/relationships/footer" Target="footer27.xml"/><Relationship Id="rId70" Type="http://schemas.openxmlformats.org/officeDocument/2006/relationships/header" Target="header28.xml"/><Relationship Id="rId71" Type="http://schemas.openxmlformats.org/officeDocument/2006/relationships/footer" Target="footer28.xml"/><Relationship Id="rId72" Type="http://schemas.openxmlformats.org/officeDocument/2006/relationships/header" Target="header29.xml"/><Relationship Id="rId73" Type="http://schemas.openxmlformats.org/officeDocument/2006/relationships/footer" Target="footer29.xml"/><Relationship Id="rId74" Type="http://schemas.openxmlformats.org/officeDocument/2006/relationships/header" Target="header30.xml"/><Relationship Id="rId75" Type="http://schemas.openxmlformats.org/officeDocument/2006/relationships/footer" Target="footer30.xml"/><Relationship Id="rId76" Type="http://schemas.openxmlformats.org/officeDocument/2006/relationships/header" Target="header31.xml"/><Relationship Id="rId77" Type="http://schemas.openxmlformats.org/officeDocument/2006/relationships/footer" Target="footer31.xml"/><Relationship Id="rId78" Type="http://schemas.openxmlformats.org/officeDocument/2006/relationships/header" Target="header32.xml"/><Relationship Id="rId79" Type="http://schemas.openxmlformats.org/officeDocument/2006/relationships/footer" Target="footer3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