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E1E" w:rsidRPr="009A4E1E" w:rsidRDefault="009A4E1E" w:rsidP="00F10A62">
      <w:pPr>
        <w:jc w:val="center"/>
        <w:rPr>
          <w:rFonts w:ascii="Times New Roman" w:hAnsi="Times New Roman" w:cs="Times New Roman"/>
          <w:sz w:val="32"/>
          <w:szCs w:val="32"/>
        </w:rPr>
      </w:pPr>
      <w:r w:rsidRPr="009A4E1E">
        <w:rPr>
          <w:rFonts w:ascii="Times New Roman" w:hAnsi="Times New Roman" w:cs="Times New Roman"/>
          <w:sz w:val="32"/>
          <w:szCs w:val="32"/>
        </w:rPr>
        <w:t>Uniwersytet Warszawski</w:t>
      </w:r>
    </w:p>
    <w:p w:rsidR="009A4E1E" w:rsidRPr="009A4E1E" w:rsidRDefault="009A4E1E" w:rsidP="00F10A62">
      <w:pPr>
        <w:jc w:val="center"/>
        <w:rPr>
          <w:rFonts w:ascii="Times New Roman" w:hAnsi="Times New Roman" w:cs="Times New Roman"/>
          <w:sz w:val="32"/>
          <w:szCs w:val="32"/>
        </w:rPr>
      </w:pPr>
      <w:r w:rsidRPr="009A4E1E">
        <w:rPr>
          <w:rFonts w:ascii="Times New Roman" w:hAnsi="Times New Roman" w:cs="Times New Roman"/>
          <w:sz w:val="32"/>
          <w:szCs w:val="32"/>
        </w:rPr>
        <w:t>Wydział Nauk Ekonomicznych</w:t>
      </w:r>
    </w:p>
    <w:p w:rsidR="009A4E1E" w:rsidRDefault="009A4E1E" w:rsidP="00F10A62">
      <w:pPr>
        <w:jc w:val="center"/>
        <w:rPr>
          <w:rFonts w:ascii="Times New Roman" w:hAnsi="Times New Roman" w:cs="Times New Roman"/>
          <w:b/>
          <w:sz w:val="24"/>
          <w:szCs w:val="24"/>
        </w:rPr>
      </w:pPr>
    </w:p>
    <w:p w:rsidR="009A4E1E" w:rsidRDefault="009A4E1E" w:rsidP="00F10A62">
      <w:pPr>
        <w:jc w:val="center"/>
        <w:rPr>
          <w:rFonts w:ascii="Times New Roman" w:hAnsi="Times New Roman" w:cs="Times New Roman"/>
          <w:b/>
          <w:sz w:val="24"/>
          <w:szCs w:val="24"/>
        </w:rPr>
      </w:pPr>
    </w:p>
    <w:p w:rsidR="009A4E1E" w:rsidRPr="009A4E1E" w:rsidRDefault="009A4E1E" w:rsidP="00F10A62">
      <w:pPr>
        <w:jc w:val="center"/>
        <w:rPr>
          <w:rFonts w:ascii="Times New Roman" w:hAnsi="Times New Roman" w:cs="Times New Roman"/>
          <w:b/>
          <w:sz w:val="52"/>
          <w:szCs w:val="52"/>
        </w:rPr>
      </w:pPr>
    </w:p>
    <w:p w:rsidR="009A4E1E" w:rsidRDefault="009A4E1E" w:rsidP="00F10A62">
      <w:pPr>
        <w:jc w:val="center"/>
        <w:rPr>
          <w:rFonts w:ascii="Times New Roman" w:hAnsi="Times New Roman" w:cs="Times New Roman"/>
          <w:b/>
          <w:sz w:val="52"/>
          <w:szCs w:val="52"/>
        </w:rPr>
      </w:pPr>
      <w:r w:rsidRPr="009A4E1E">
        <w:rPr>
          <w:rFonts w:ascii="Times New Roman" w:hAnsi="Times New Roman" w:cs="Times New Roman"/>
          <w:b/>
          <w:sz w:val="52"/>
          <w:szCs w:val="52"/>
        </w:rPr>
        <w:t>P</w:t>
      </w:r>
      <w:r w:rsidR="00A85766">
        <w:rPr>
          <w:rFonts w:ascii="Times New Roman" w:hAnsi="Times New Roman" w:cs="Times New Roman"/>
          <w:b/>
          <w:sz w:val="52"/>
          <w:szCs w:val="52"/>
        </w:rPr>
        <w:t xml:space="preserve">orównanie metod prognozowania </w:t>
      </w:r>
      <w:r w:rsidR="001F01F2">
        <w:rPr>
          <w:rFonts w:ascii="Times New Roman" w:hAnsi="Times New Roman" w:cs="Times New Roman"/>
          <w:b/>
          <w:sz w:val="52"/>
          <w:szCs w:val="52"/>
        </w:rPr>
        <w:t xml:space="preserve">średniego miesięcznego </w:t>
      </w:r>
      <w:r w:rsidR="00A85766">
        <w:rPr>
          <w:rFonts w:ascii="Times New Roman" w:hAnsi="Times New Roman" w:cs="Times New Roman"/>
          <w:b/>
          <w:sz w:val="52"/>
          <w:szCs w:val="52"/>
        </w:rPr>
        <w:t>kursu walutowego</w:t>
      </w:r>
    </w:p>
    <w:p w:rsidR="009A4E1E" w:rsidRDefault="009A4E1E" w:rsidP="00F10A62">
      <w:pPr>
        <w:jc w:val="center"/>
        <w:rPr>
          <w:rFonts w:ascii="Times New Roman" w:hAnsi="Times New Roman" w:cs="Times New Roman"/>
          <w:b/>
          <w:sz w:val="52"/>
          <w:szCs w:val="52"/>
        </w:rPr>
      </w:pPr>
    </w:p>
    <w:p w:rsidR="009A4E1E" w:rsidRPr="00A85766" w:rsidRDefault="009A4E1E" w:rsidP="00F10A62">
      <w:pPr>
        <w:jc w:val="center"/>
        <w:rPr>
          <w:rFonts w:ascii="Times New Roman" w:hAnsi="Times New Roman" w:cs="Times New Roman"/>
          <w:sz w:val="36"/>
          <w:szCs w:val="36"/>
        </w:rPr>
      </w:pPr>
      <w:r w:rsidRPr="00A85766">
        <w:rPr>
          <w:rFonts w:ascii="Times New Roman" w:hAnsi="Times New Roman" w:cs="Times New Roman"/>
          <w:sz w:val="36"/>
          <w:szCs w:val="36"/>
        </w:rPr>
        <w:t>Monika Kaczan, nr indeksu 410998</w:t>
      </w:r>
    </w:p>
    <w:p w:rsidR="009A4E1E" w:rsidRPr="00A85766" w:rsidRDefault="009A4E1E" w:rsidP="00F10A62">
      <w:pPr>
        <w:jc w:val="center"/>
        <w:rPr>
          <w:rFonts w:ascii="Times New Roman" w:hAnsi="Times New Roman" w:cs="Times New Roman"/>
          <w:sz w:val="36"/>
          <w:szCs w:val="36"/>
        </w:rPr>
      </w:pPr>
      <w:r w:rsidRPr="00A85766">
        <w:rPr>
          <w:rFonts w:ascii="Times New Roman" w:hAnsi="Times New Roman" w:cs="Times New Roman"/>
          <w:sz w:val="36"/>
          <w:szCs w:val="36"/>
        </w:rPr>
        <w:t xml:space="preserve">Michał Sękowski, nr indeksu </w:t>
      </w:r>
      <w:r w:rsidR="002F5A13" w:rsidRPr="00A85766">
        <w:rPr>
          <w:rFonts w:ascii="Times New Roman" w:hAnsi="Times New Roman" w:cs="Times New Roman"/>
          <w:sz w:val="36"/>
          <w:szCs w:val="36"/>
        </w:rPr>
        <w:t>411399</w:t>
      </w:r>
    </w:p>
    <w:p w:rsidR="009A4E1E" w:rsidRDefault="009A4E1E" w:rsidP="00F10A62">
      <w:pPr>
        <w:jc w:val="center"/>
        <w:rPr>
          <w:rFonts w:ascii="Times New Roman" w:hAnsi="Times New Roman" w:cs="Times New Roman"/>
          <w:b/>
          <w:sz w:val="32"/>
          <w:szCs w:val="32"/>
        </w:rPr>
      </w:pPr>
    </w:p>
    <w:p w:rsidR="009A4E1E" w:rsidRDefault="009A4E1E" w:rsidP="00F10A62">
      <w:pPr>
        <w:jc w:val="center"/>
        <w:rPr>
          <w:rFonts w:ascii="Times New Roman" w:hAnsi="Times New Roman" w:cs="Times New Roman"/>
          <w:b/>
          <w:sz w:val="32"/>
          <w:szCs w:val="32"/>
        </w:rPr>
      </w:pPr>
    </w:p>
    <w:p w:rsidR="009A4E1E" w:rsidRPr="009A4E1E" w:rsidRDefault="009A4E1E" w:rsidP="009A4E1E">
      <w:pPr>
        <w:jc w:val="right"/>
        <w:rPr>
          <w:rFonts w:ascii="Times New Roman" w:hAnsi="Times New Roman" w:cs="Times New Roman"/>
          <w:sz w:val="32"/>
          <w:szCs w:val="32"/>
        </w:rPr>
      </w:pPr>
      <w:r w:rsidRPr="009A4E1E">
        <w:rPr>
          <w:rFonts w:ascii="Times New Roman" w:hAnsi="Times New Roman" w:cs="Times New Roman"/>
          <w:sz w:val="32"/>
          <w:szCs w:val="32"/>
        </w:rPr>
        <w:t>Praca zaliczeniowa na przedmiot Prognozowanie i Symulacje</w:t>
      </w:r>
    </w:p>
    <w:p w:rsidR="009A4E1E" w:rsidRDefault="009A4E1E" w:rsidP="009A4E1E">
      <w:pPr>
        <w:jc w:val="right"/>
        <w:rPr>
          <w:rFonts w:ascii="Times New Roman" w:hAnsi="Times New Roman" w:cs="Times New Roman"/>
          <w:sz w:val="32"/>
          <w:szCs w:val="32"/>
        </w:rPr>
      </w:pPr>
      <w:r w:rsidRPr="009A4E1E">
        <w:rPr>
          <w:rFonts w:ascii="Times New Roman" w:hAnsi="Times New Roman" w:cs="Times New Roman"/>
          <w:sz w:val="32"/>
          <w:szCs w:val="32"/>
        </w:rPr>
        <w:t>Prowadzony przez dr Łukasza Postka</w:t>
      </w:r>
    </w:p>
    <w:p w:rsidR="009A4E1E" w:rsidRDefault="009A4E1E" w:rsidP="009A4E1E">
      <w:pPr>
        <w:jc w:val="right"/>
        <w:rPr>
          <w:rFonts w:ascii="Times New Roman" w:hAnsi="Times New Roman" w:cs="Times New Roman"/>
          <w:sz w:val="32"/>
          <w:szCs w:val="32"/>
        </w:rPr>
      </w:pPr>
    </w:p>
    <w:p w:rsidR="009A4E1E" w:rsidRDefault="009A4E1E" w:rsidP="009A4E1E">
      <w:pPr>
        <w:jc w:val="right"/>
        <w:rPr>
          <w:rFonts w:ascii="Times New Roman" w:hAnsi="Times New Roman" w:cs="Times New Roman"/>
          <w:sz w:val="32"/>
          <w:szCs w:val="32"/>
        </w:rPr>
      </w:pPr>
    </w:p>
    <w:p w:rsidR="009A4E1E" w:rsidRDefault="009A4E1E" w:rsidP="009A4E1E">
      <w:pPr>
        <w:jc w:val="right"/>
        <w:rPr>
          <w:rFonts w:ascii="Times New Roman" w:hAnsi="Times New Roman" w:cs="Times New Roman"/>
          <w:sz w:val="32"/>
          <w:szCs w:val="32"/>
        </w:rPr>
      </w:pPr>
    </w:p>
    <w:p w:rsidR="009A4E1E" w:rsidRDefault="009A4E1E" w:rsidP="009A4E1E">
      <w:pPr>
        <w:jc w:val="right"/>
        <w:rPr>
          <w:rFonts w:ascii="Times New Roman" w:hAnsi="Times New Roman" w:cs="Times New Roman"/>
          <w:sz w:val="32"/>
          <w:szCs w:val="32"/>
        </w:rPr>
      </w:pPr>
    </w:p>
    <w:p w:rsidR="009A4E1E" w:rsidRPr="009A4E1E" w:rsidRDefault="009A4E1E" w:rsidP="009A4E1E">
      <w:pPr>
        <w:jc w:val="right"/>
        <w:rPr>
          <w:rFonts w:ascii="Times New Roman" w:hAnsi="Times New Roman" w:cs="Times New Roman"/>
          <w:sz w:val="32"/>
          <w:szCs w:val="32"/>
        </w:rPr>
      </w:pPr>
    </w:p>
    <w:p w:rsidR="009A4E1E" w:rsidRPr="009A4E1E" w:rsidRDefault="009A4E1E" w:rsidP="001F01F2">
      <w:pPr>
        <w:jc w:val="center"/>
        <w:rPr>
          <w:rFonts w:ascii="Times New Roman" w:hAnsi="Times New Roman" w:cs="Times New Roman"/>
          <w:sz w:val="32"/>
          <w:szCs w:val="32"/>
        </w:rPr>
      </w:pPr>
      <w:r>
        <w:rPr>
          <w:rFonts w:ascii="Times New Roman" w:hAnsi="Times New Roman" w:cs="Times New Roman"/>
          <w:sz w:val="32"/>
          <w:szCs w:val="32"/>
        </w:rPr>
        <w:t>Warszawa, czerwiec 2022</w:t>
      </w:r>
    </w:p>
    <w:p w:rsidR="00F10A62" w:rsidRPr="00F10A62" w:rsidRDefault="00F10A62" w:rsidP="00F10A62">
      <w:pPr>
        <w:jc w:val="center"/>
        <w:rPr>
          <w:rFonts w:ascii="Times New Roman" w:hAnsi="Times New Roman" w:cs="Times New Roman"/>
          <w:b/>
          <w:sz w:val="24"/>
          <w:szCs w:val="24"/>
        </w:rPr>
      </w:pPr>
      <w:r w:rsidRPr="00F10A62">
        <w:rPr>
          <w:rFonts w:ascii="Times New Roman" w:hAnsi="Times New Roman" w:cs="Times New Roman"/>
          <w:b/>
          <w:sz w:val="24"/>
          <w:szCs w:val="24"/>
        </w:rPr>
        <w:lastRenderedPageBreak/>
        <w:t>Prognozowanie i symulacje</w:t>
      </w:r>
      <w:r w:rsidRPr="00F10A62">
        <w:rPr>
          <w:rFonts w:ascii="Times New Roman" w:hAnsi="Times New Roman" w:cs="Times New Roman"/>
          <w:b/>
          <w:sz w:val="24"/>
          <w:szCs w:val="24"/>
        </w:rPr>
        <w:br/>
        <w:t>Projekt ekonometryczny</w:t>
      </w:r>
    </w:p>
    <w:tbl>
      <w:tblPr>
        <w:tblStyle w:val="Tabela-Siatka"/>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63"/>
        <w:gridCol w:w="6799"/>
      </w:tblGrid>
      <w:tr w:rsidR="00F10A62" w:rsidRPr="00F10A62"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Autor/Autorzy</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Default="00905F25">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Monika Kaczan, 410998</w:t>
            </w:r>
          </w:p>
          <w:p w:rsidR="00905F25" w:rsidRPr="00F10A62" w:rsidRDefault="00755499">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Michał Sękowski, </w:t>
            </w:r>
            <w:r w:rsidR="002F5A13">
              <w:rPr>
                <w:rFonts w:ascii="Times New Roman" w:hAnsi="Times New Roman" w:cs="Times New Roman"/>
                <w:sz w:val="24"/>
                <w:szCs w:val="24"/>
              </w:rPr>
              <w:t>411399</w:t>
            </w:r>
          </w:p>
        </w:tc>
      </w:tr>
      <w:tr w:rsidR="00F10A62" w:rsidRPr="009A4E1E"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9A4E1E" w:rsidRDefault="00F10A62">
            <w:pPr>
              <w:spacing w:before="60" w:after="60" w:line="240" w:lineRule="auto"/>
              <w:jc w:val="both"/>
              <w:rPr>
                <w:rFonts w:ascii="Times New Roman" w:hAnsi="Times New Roman" w:cs="Times New Roman"/>
                <w:i/>
                <w:sz w:val="24"/>
                <w:szCs w:val="24"/>
              </w:rPr>
            </w:pPr>
            <w:r w:rsidRPr="009A4E1E">
              <w:rPr>
                <w:rFonts w:ascii="Times New Roman" w:hAnsi="Times New Roman" w:cs="Times New Roman"/>
                <w:i/>
                <w:sz w:val="24"/>
                <w:szCs w:val="24"/>
              </w:rPr>
              <w:t>Tytuł</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10A62" w:rsidRPr="009A4E1E" w:rsidRDefault="00755499">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Porównanie metod prognozowania </w:t>
            </w:r>
            <w:r w:rsidR="001F01F2">
              <w:rPr>
                <w:rFonts w:ascii="Times New Roman" w:hAnsi="Times New Roman" w:cs="Times New Roman"/>
                <w:sz w:val="24"/>
                <w:szCs w:val="24"/>
              </w:rPr>
              <w:t xml:space="preserve">średniego miesięcznego </w:t>
            </w:r>
            <w:r>
              <w:rPr>
                <w:rFonts w:ascii="Times New Roman" w:hAnsi="Times New Roman" w:cs="Times New Roman"/>
                <w:sz w:val="24"/>
                <w:szCs w:val="24"/>
              </w:rPr>
              <w:t xml:space="preserve">kursu </w:t>
            </w:r>
            <w:r w:rsidR="00A85766">
              <w:rPr>
                <w:rFonts w:ascii="Times New Roman" w:hAnsi="Times New Roman" w:cs="Times New Roman"/>
                <w:sz w:val="24"/>
                <w:szCs w:val="24"/>
              </w:rPr>
              <w:t>walutowego</w:t>
            </w:r>
          </w:p>
        </w:tc>
      </w:tr>
    </w:tbl>
    <w:p w:rsidR="00F10A62" w:rsidRPr="00F10A62" w:rsidRDefault="00F10A62" w:rsidP="00F10A62">
      <w:pPr>
        <w:jc w:val="both"/>
        <w:rPr>
          <w:rFonts w:ascii="Times New Roman" w:hAnsi="Times New Roman" w:cs="Times New Roman"/>
          <w:sz w:val="24"/>
          <w:szCs w:val="24"/>
        </w:rPr>
      </w:pPr>
    </w:p>
    <w:p w:rsidR="00F10A62" w:rsidRPr="00F10A62" w:rsidRDefault="00F10A62" w:rsidP="00F10A62">
      <w:pPr>
        <w:jc w:val="both"/>
        <w:rPr>
          <w:rFonts w:ascii="Times New Roman" w:hAnsi="Times New Roman" w:cs="Times New Roman"/>
          <w:b/>
          <w:sz w:val="24"/>
          <w:szCs w:val="24"/>
        </w:rPr>
      </w:pPr>
      <w:r w:rsidRPr="00F10A62">
        <w:rPr>
          <w:rFonts w:ascii="Times New Roman" w:hAnsi="Times New Roman" w:cs="Times New Roman"/>
          <w:b/>
          <w:sz w:val="24"/>
          <w:szCs w:val="24"/>
        </w:rPr>
        <w:t>Informacje o artykule będącym inspiracją dla badania</w:t>
      </w:r>
    </w:p>
    <w:tbl>
      <w:tblPr>
        <w:tblStyle w:val="Tabela-Siatka"/>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63"/>
        <w:gridCol w:w="6799"/>
      </w:tblGrid>
      <w:tr w:rsidR="00F10A62" w:rsidRPr="000F02A8"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Tytuł</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10A62" w:rsidRPr="00991A6E" w:rsidRDefault="00991A6E">
            <w:pPr>
              <w:spacing w:before="60" w:after="60" w:line="240" w:lineRule="auto"/>
              <w:jc w:val="both"/>
              <w:rPr>
                <w:rFonts w:ascii="Times New Roman" w:hAnsi="Times New Roman" w:cs="Times New Roman"/>
                <w:sz w:val="24"/>
                <w:szCs w:val="24"/>
                <w:lang w:val="en-US"/>
              </w:rPr>
            </w:pPr>
            <w:r w:rsidRPr="00991A6E">
              <w:rPr>
                <w:rFonts w:ascii="Times New Roman" w:hAnsi="Times New Roman" w:cs="Times New Roman"/>
                <w:sz w:val="24"/>
                <w:szCs w:val="24"/>
                <w:lang w:val="en-US"/>
              </w:rPr>
              <w:t>An Application Of Exchange Rate Forecasting In Turkey</w:t>
            </w:r>
          </w:p>
        </w:tc>
      </w:tr>
      <w:tr w:rsidR="00F10A62" w:rsidRPr="000F02A8"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Autor/Autorzy</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10A62" w:rsidRPr="00991A6E" w:rsidRDefault="00991A6E">
            <w:pPr>
              <w:spacing w:before="60" w:after="60" w:line="240" w:lineRule="auto"/>
              <w:jc w:val="both"/>
              <w:rPr>
                <w:rFonts w:ascii="Times New Roman" w:hAnsi="Times New Roman" w:cs="Times New Roman"/>
                <w:sz w:val="24"/>
                <w:szCs w:val="24"/>
                <w:lang w:val="en-US"/>
              </w:rPr>
            </w:pPr>
            <w:proofErr w:type="spellStart"/>
            <w:r w:rsidRPr="00991A6E">
              <w:rPr>
                <w:rFonts w:ascii="Times New Roman" w:hAnsi="Times New Roman" w:cs="Times New Roman"/>
                <w:sz w:val="24"/>
                <w:szCs w:val="24"/>
                <w:lang w:val="en-US"/>
              </w:rPr>
              <w:t>Aykan</w:t>
            </w:r>
            <w:proofErr w:type="spellEnd"/>
            <w:r w:rsidR="002F5A13">
              <w:rPr>
                <w:rFonts w:ascii="Times New Roman" w:hAnsi="Times New Roman" w:cs="Times New Roman"/>
                <w:sz w:val="24"/>
                <w:szCs w:val="24"/>
                <w:lang w:val="en-US"/>
              </w:rPr>
              <w:t xml:space="preserve"> </w:t>
            </w:r>
            <w:proofErr w:type="spellStart"/>
            <w:r w:rsidR="002F5A13">
              <w:rPr>
                <w:rFonts w:ascii="Times New Roman" w:hAnsi="Times New Roman" w:cs="Times New Roman"/>
                <w:sz w:val="24"/>
                <w:szCs w:val="24"/>
                <w:lang w:val="en-US"/>
              </w:rPr>
              <w:t>Akincilar</w:t>
            </w:r>
            <w:proofErr w:type="spellEnd"/>
            <w:r w:rsidRPr="00991A6E">
              <w:rPr>
                <w:rFonts w:ascii="Times New Roman" w:hAnsi="Times New Roman" w:cs="Times New Roman"/>
                <w:sz w:val="24"/>
                <w:szCs w:val="24"/>
                <w:lang w:val="en-US"/>
              </w:rPr>
              <w:t xml:space="preserve">, </w:t>
            </w:r>
            <w:proofErr w:type="spellStart"/>
            <w:r w:rsidR="002F5A13">
              <w:rPr>
                <w:rFonts w:ascii="Times New Roman" w:hAnsi="Times New Roman" w:cs="Times New Roman"/>
                <w:sz w:val="24"/>
                <w:szCs w:val="24"/>
                <w:lang w:val="en-US"/>
              </w:rPr>
              <w:t>I</w:t>
            </w:r>
            <w:r w:rsidRPr="00991A6E">
              <w:rPr>
                <w:rFonts w:ascii="Times New Roman" w:hAnsi="Times New Roman" w:cs="Times New Roman"/>
                <w:sz w:val="24"/>
                <w:szCs w:val="24"/>
                <w:lang w:val="en-US"/>
              </w:rPr>
              <w:t>zzettin</w:t>
            </w:r>
            <w:proofErr w:type="spellEnd"/>
            <w:r w:rsidRPr="00991A6E">
              <w:rPr>
                <w:rFonts w:ascii="Times New Roman" w:hAnsi="Times New Roman" w:cs="Times New Roman"/>
                <w:sz w:val="24"/>
                <w:szCs w:val="24"/>
                <w:lang w:val="en-US"/>
              </w:rPr>
              <w:t xml:space="preserve"> </w:t>
            </w:r>
            <w:proofErr w:type="spellStart"/>
            <w:r w:rsidR="002F5A13">
              <w:rPr>
                <w:rFonts w:ascii="Times New Roman" w:hAnsi="Times New Roman" w:cs="Times New Roman"/>
                <w:sz w:val="24"/>
                <w:szCs w:val="24"/>
                <w:lang w:val="en-US"/>
              </w:rPr>
              <w:t>Temiz</w:t>
            </w:r>
            <w:proofErr w:type="spellEnd"/>
            <w:r w:rsidRPr="00991A6E">
              <w:rPr>
                <w:rFonts w:ascii="Times New Roman" w:hAnsi="Times New Roman" w:cs="Times New Roman"/>
                <w:sz w:val="24"/>
                <w:szCs w:val="24"/>
                <w:lang w:val="en-US"/>
              </w:rPr>
              <w:t xml:space="preserve">, Erol </w:t>
            </w:r>
            <w:proofErr w:type="spellStart"/>
            <w:r w:rsidR="002F5A13">
              <w:rPr>
                <w:rFonts w:ascii="Times New Roman" w:hAnsi="Times New Roman" w:cs="Times New Roman"/>
                <w:sz w:val="24"/>
                <w:szCs w:val="24"/>
                <w:lang w:val="en-US"/>
              </w:rPr>
              <w:t>Sahin</w:t>
            </w:r>
            <w:proofErr w:type="spellEnd"/>
          </w:p>
        </w:tc>
      </w:tr>
      <w:tr w:rsidR="00F10A62" w:rsidRPr="000F02A8"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proofErr w:type="spellStart"/>
            <w:r w:rsidRPr="00F10A62">
              <w:rPr>
                <w:rFonts w:ascii="Times New Roman" w:hAnsi="Times New Roman" w:cs="Times New Roman"/>
                <w:i/>
                <w:sz w:val="24"/>
                <w:szCs w:val="24"/>
              </w:rPr>
              <w:t>Journal</w:t>
            </w:r>
            <w:proofErr w:type="spellEnd"/>
            <w:r w:rsidRPr="00F10A62">
              <w:rPr>
                <w:rFonts w:ascii="Times New Roman" w:hAnsi="Times New Roman" w:cs="Times New Roman"/>
                <w:i/>
                <w:sz w:val="24"/>
                <w:szCs w:val="24"/>
              </w:rPr>
              <w:t>/Miejsce publikacji</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10A62" w:rsidRPr="00991A6E" w:rsidRDefault="00991A6E">
            <w:pPr>
              <w:spacing w:before="60" w:after="60" w:line="240" w:lineRule="auto"/>
              <w:jc w:val="both"/>
              <w:rPr>
                <w:rFonts w:ascii="Times New Roman" w:hAnsi="Times New Roman" w:cs="Times New Roman"/>
                <w:sz w:val="24"/>
                <w:szCs w:val="24"/>
                <w:lang w:val="en-US"/>
              </w:rPr>
            </w:pPr>
            <w:r w:rsidRPr="00991A6E">
              <w:rPr>
                <w:rFonts w:ascii="Times New Roman" w:hAnsi="Times New Roman" w:cs="Times New Roman"/>
                <w:sz w:val="24"/>
                <w:szCs w:val="24"/>
                <w:lang w:val="en-US"/>
              </w:rPr>
              <w:t>Gazi University Journal of Science</w:t>
            </w:r>
          </w:p>
        </w:tc>
      </w:tr>
      <w:tr w:rsidR="00F10A62" w:rsidRPr="00F10A62"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Rok</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10A62" w:rsidRPr="00F10A62" w:rsidRDefault="00991A6E">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2011</w:t>
            </w:r>
          </w:p>
        </w:tc>
      </w:tr>
      <w:tr w:rsidR="00F10A62" w:rsidRPr="00F10A62"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Zakres stron</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10A62" w:rsidRPr="00F10A62" w:rsidRDefault="00991A6E">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817 - 828</w:t>
            </w:r>
          </w:p>
        </w:tc>
      </w:tr>
      <w:tr w:rsidR="00F10A62" w:rsidRPr="00F10A62"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Tematyka, problemy i cele badawcze</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031F01">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Artykuł został poświęcony porównaniu metod prognozowania kursów walutowych dolara amerykańskiego, euro i funta brytyjskiego do liry tureckiej.</w:t>
            </w:r>
          </w:p>
        </w:tc>
      </w:tr>
      <w:tr w:rsidR="00F10A62" w:rsidRPr="00F10A62"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Główne wnioski</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10A62" w:rsidRPr="00F10A62" w:rsidRDefault="00460BB0">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Najniższe błędy prognozy pod względem MAPE, RMSE i MAE dla wszystkich kursów uzyskano dla modelu </w:t>
            </w:r>
            <w:proofErr w:type="spellStart"/>
            <w:r>
              <w:rPr>
                <w:rFonts w:ascii="Times New Roman" w:hAnsi="Times New Roman" w:cs="Times New Roman"/>
                <w:sz w:val="24"/>
                <w:szCs w:val="24"/>
              </w:rPr>
              <w:t>Holta-Wintersa</w:t>
            </w:r>
            <w:proofErr w:type="spellEnd"/>
            <w:r>
              <w:rPr>
                <w:rFonts w:ascii="Times New Roman" w:hAnsi="Times New Roman" w:cs="Times New Roman"/>
                <w:sz w:val="24"/>
                <w:szCs w:val="24"/>
              </w:rPr>
              <w:t xml:space="preserve"> z parametrami </w:t>
            </w:r>
            <w:r w:rsidRPr="00460BB0">
              <w:rPr>
                <w:rFonts w:ascii="Times New Roman" w:hAnsi="Times New Roman" w:cs="Times New Roman"/>
                <w:sz w:val="24"/>
                <w:szCs w:val="24"/>
              </w:rPr>
              <w:t>α</w:t>
            </w:r>
            <w:r>
              <w:rPr>
                <w:rFonts w:ascii="Times New Roman" w:hAnsi="Times New Roman" w:cs="Times New Roman"/>
                <w:sz w:val="24"/>
                <w:szCs w:val="24"/>
              </w:rPr>
              <w:t xml:space="preserve"> </w:t>
            </w:r>
            <w:r w:rsidRPr="00460BB0">
              <w:rPr>
                <w:rFonts w:ascii="Times New Roman" w:hAnsi="Times New Roman" w:cs="Times New Roman"/>
                <w:sz w:val="24"/>
                <w:szCs w:val="24"/>
              </w:rPr>
              <w:t>=</w:t>
            </w:r>
            <w:r>
              <w:rPr>
                <w:rFonts w:ascii="Times New Roman" w:hAnsi="Times New Roman" w:cs="Times New Roman"/>
                <w:sz w:val="24"/>
                <w:szCs w:val="24"/>
              </w:rPr>
              <w:t xml:space="preserve"> </w:t>
            </w:r>
            <w:r w:rsidRPr="00460BB0">
              <w:rPr>
                <w:rFonts w:ascii="Times New Roman" w:hAnsi="Times New Roman" w:cs="Times New Roman"/>
                <w:sz w:val="24"/>
                <w:szCs w:val="24"/>
              </w:rPr>
              <w:t>1.0, γ</w:t>
            </w:r>
            <w:r>
              <w:rPr>
                <w:rFonts w:ascii="Times New Roman" w:hAnsi="Times New Roman" w:cs="Times New Roman"/>
                <w:sz w:val="24"/>
                <w:szCs w:val="24"/>
              </w:rPr>
              <w:t xml:space="preserve"> </w:t>
            </w:r>
            <w:r w:rsidRPr="00460BB0">
              <w:rPr>
                <w:rFonts w:ascii="Times New Roman" w:hAnsi="Times New Roman" w:cs="Times New Roman"/>
                <w:sz w:val="24"/>
                <w:szCs w:val="24"/>
              </w:rPr>
              <w:t>=</w:t>
            </w:r>
            <w:r>
              <w:rPr>
                <w:rFonts w:ascii="Times New Roman" w:hAnsi="Times New Roman" w:cs="Times New Roman"/>
                <w:sz w:val="24"/>
                <w:szCs w:val="24"/>
              </w:rPr>
              <w:t xml:space="preserve"> </w:t>
            </w:r>
            <w:r w:rsidRPr="00460BB0">
              <w:rPr>
                <w:rFonts w:ascii="Times New Roman" w:hAnsi="Times New Roman" w:cs="Times New Roman"/>
                <w:sz w:val="24"/>
                <w:szCs w:val="24"/>
              </w:rPr>
              <w:t>0.005, δ</w:t>
            </w:r>
            <w:r>
              <w:rPr>
                <w:rFonts w:ascii="Times New Roman" w:hAnsi="Times New Roman" w:cs="Times New Roman"/>
                <w:sz w:val="24"/>
                <w:szCs w:val="24"/>
              </w:rPr>
              <w:t xml:space="preserve"> </w:t>
            </w:r>
            <w:r w:rsidRPr="00460BB0">
              <w:rPr>
                <w:rFonts w:ascii="Times New Roman" w:hAnsi="Times New Roman" w:cs="Times New Roman"/>
                <w:sz w:val="24"/>
                <w:szCs w:val="24"/>
              </w:rPr>
              <w:t>=</w:t>
            </w:r>
            <w:r>
              <w:rPr>
                <w:rFonts w:ascii="Times New Roman" w:hAnsi="Times New Roman" w:cs="Times New Roman"/>
                <w:sz w:val="24"/>
                <w:szCs w:val="24"/>
              </w:rPr>
              <w:t xml:space="preserve"> </w:t>
            </w:r>
            <w:r w:rsidRPr="00460BB0">
              <w:rPr>
                <w:rFonts w:ascii="Times New Roman" w:hAnsi="Times New Roman" w:cs="Times New Roman"/>
                <w:sz w:val="24"/>
                <w:szCs w:val="24"/>
              </w:rPr>
              <w:t>0.001 i SL</w:t>
            </w:r>
            <w:r>
              <w:rPr>
                <w:rFonts w:ascii="Times New Roman" w:hAnsi="Times New Roman" w:cs="Times New Roman"/>
                <w:sz w:val="24"/>
                <w:szCs w:val="24"/>
              </w:rPr>
              <w:t xml:space="preserve"> </w:t>
            </w:r>
            <w:r w:rsidRPr="00460BB0">
              <w:rPr>
                <w:rFonts w:ascii="Times New Roman" w:hAnsi="Times New Roman" w:cs="Times New Roman"/>
                <w:sz w:val="24"/>
                <w:szCs w:val="24"/>
              </w:rPr>
              <w:t>=</w:t>
            </w:r>
            <w:r>
              <w:rPr>
                <w:rFonts w:ascii="Times New Roman" w:hAnsi="Times New Roman" w:cs="Times New Roman"/>
                <w:sz w:val="24"/>
                <w:szCs w:val="24"/>
              </w:rPr>
              <w:t xml:space="preserve"> </w:t>
            </w:r>
            <w:r w:rsidRPr="00460BB0">
              <w:rPr>
                <w:rFonts w:ascii="Times New Roman" w:hAnsi="Times New Roman" w:cs="Times New Roman"/>
                <w:sz w:val="24"/>
                <w:szCs w:val="24"/>
              </w:rPr>
              <w:t>300.</w:t>
            </w:r>
            <w:r>
              <w:rPr>
                <w:rFonts w:ascii="Times New Roman" w:hAnsi="Times New Roman" w:cs="Times New Roman"/>
                <w:sz w:val="24"/>
                <w:szCs w:val="24"/>
              </w:rPr>
              <w:t xml:space="preserve"> Dla tego modelu MAPE wyniosło poniżej 1%, co zostało ocenione jako porównywalny z innymi, bardziej zaawansowanymi modelami.</w:t>
            </w:r>
          </w:p>
        </w:tc>
      </w:tr>
      <w:tr w:rsidR="00F10A62" w:rsidRPr="00F10A62"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Metodyka badawcza</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031F01">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W badaniu zastosowano metodę średnich ruchomych, prostego wygładzania wykładniczego, modelu </w:t>
            </w:r>
            <w:proofErr w:type="spellStart"/>
            <w:r>
              <w:rPr>
                <w:rFonts w:ascii="Times New Roman" w:hAnsi="Times New Roman" w:cs="Times New Roman"/>
                <w:sz w:val="24"/>
                <w:szCs w:val="24"/>
              </w:rPr>
              <w:t>Holta</w:t>
            </w:r>
            <w:proofErr w:type="spellEnd"/>
            <w:r>
              <w:rPr>
                <w:rFonts w:ascii="Times New Roman" w:hAnsi="Times New Roman" w:cs="Times New Roman"/>
                <w:sz w:val="24"/>
                <w:szCs w:val="24"/>
              </w:rPr>
              <w:t xml:space="preserve">, modelu </w:t>
            </w:r>
            <w:proofErr w:type="spellStart"/>
            <w:r>
              <w:rPr>
                <w:rFonts w:ascii="Times New Roman" w:hAnsi="Times New Roman" w:cs="Times New Roman"/>
                <w:sz w:val="24"/>
                <w:szCs w:val="24"/>
              </w:rPr>
              <w:t>Holta-Wintersa</w:t>
            </w:r>
            <w:proofErr w:type="spellEnd"/>
            <w:r>
              <w:rPr>
                <w:rFonts w:ascii="Times New Roman" w:hAnsi="Times New Roman" w:cs="Times New Roman"/>
                <w:sz w:val="24"/>
                <w:szCs w:val="24"/>
              </w:rPr>
              <w:t xml:space="preserve"> oraz modeli ARIMA. Błędy prognozy szacowano za pomocą MAPE, RMSE i MAE. </w:t>
            </w:r>
          </w:p>
        </w:tc>
      </w:tr>
      <w:tr w:rsidR="00F10A62" w:rsidRPr="00F10A62"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Dane</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460BB0">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Dane wykorzystane w badaniu to szeregi czasowe dotyczące dziennych średnich kursów walut: dolara amerykańskiego, euro i funta brytyjskiego do liry tureckiej. Dane pochodzą z Banku Centralnego Republiki Turcji i dotyczą okresu od 1 stycznia 2005 roku do 8 sierpnia 2010 roku. </w:t>
            </w:r>
          </w:p>
        </w:tc>
      </w:tr>
      <w:tr w:rsidR="00F10A62" w:rsidRPr="00F10A62" w:rsidTr="00905F25">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Dlaczego wybrano właśnie ten artykuł?</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10A62" w:rsidRPr="00F10A62" w:rsidRDefault="00905F25">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Artykuł </w:t>
            </w:r>
            <w:r w:rsidR="00985F40">
              <w:rPr>
                <w:rFonts w:ascii="Times New Roman" w:hAnsi="Times New Roman" w:cs="Times New Roman"/>
                <w:sz w:val="24"/>
                <w:szCs w:val="24"/>
              </w:rPr>
              <w:t>dotyczył istotnego</w:t>
            </w:r>
            <w:r w:rsidR="001A5FBC">
              <w:rPr>
                <w:rFonts w:ascii="Times New Roman" w:hAnsi="Times New Roman" w:cs="Times New Roman"/>
                <w:sz w:val="24"/>
                <w:szCs w:val="24"/>
              </w:rPr>
              <w:t xml:space="preserve"> i interesującego według nas</w:t>
            </w:r>
            <w:r w:rsidR="00985F40">
              <w:rPr>
                <w:rFonts w:ascii="Times New Roman" w:hAnsi="Times New Roman" w:cs="Times New Roman"/>
                <w:sz w:val="24"/>
                <w:szCs w:val="24"/>
              </w:rPr>
              <w:t xml:space="preserve"> zagadnienia, jakim jest prognozowanie kursu walutowego. Autorzy wykorzystali i porównali różnorodn</w:t>
            </w:r>
            <w:r w:rsidR="001A5FBC">
              <w:rPr>
                <w:rFonts w:ascii="Times New Roman" w:hAnsi="Times New Roman" w:cs="Times New Roman"/>
                <w:sz w:val="24"/>
                <w:szCs w:val="24"/>
              </w:rPr>
              <w:t>e metody o różnym stopniu złożoności na przykładzie kilku walut</w:t>
            </w:r>
            <w:r w:rsidR="001F01F2">
              <w:rPr>
                <w:rFonts w:ascii="Times New Roman" w:hAnsi="Times New Roman" w:cs="Times New Roman"/>
                <w:sz w:val="24"/>
                <w:szCs w:val="24"/>
              </w:rPr>
              <w:t xml:space="preserve">, dzięki czemu można było dobrze przeanalizować uzyskane wyniki. </w:t>
            </w:r>
          </w:p>
        </w:tc>
      </w:tr>
    </w:tbl>
    <w:p w:rsidR="00F10A62" w:rsidRPr="00F10A62" w:rsidRDefault="00F10A62" w:rsidP="00F10A62">
      <w:pPr>
        <w:jc w:val="both"/>
        <w:rPr>
          <w:rFonts w:ascii="Times New Roman" w:hAnsi="Times New Roman" w:cs="Times New Roman"/>
          <w:b/>
          <w:sz w:val="24"/>
          <w:szCs w:val="24"/>
        </w:rPr>
      </w:pPr>
    </w:p>
    <w:p w:rsidR="00F10A62" w:rsidRPr="00F10A62" w:rsidRDefault="00F10A62" w:rsidP="00F10A62">
      <w:pPr>
        <w:jc w:val="both"/>
        <w:rPr>
          <w:rFonts w:ascii="Times New Roman" w:hAnsi="Times New Roman" w:cs="Times New Roman"/>
          <w:sz w:val="24"/>
          <w:szCs w:val="24"/>
        </w:rPr>
      </w:pPr>
      <w:r w:rsidRPr="00F10A62">
        <w:rPr>
          <w:rFonts w:ascii="Times New Roman" w:hAnsi="Times New Roman" w:cs="Times New Roman"/>
          <w:b/>
          <w:sz w:val="24"/>
          <w:szCs w:val="24"/>
        </w:rPr>
        <w:t>Podstawowe informacje o badaniu</w:t>
      </w:r>
    </w:p>
    <w:tbl>
      <w:tblPr>
        <w:tblStyle w:val="Tabela-Siatka"/>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63"/>
        <w:gridCol w:w="6799"/>
      </w:tblGrid>
      <w:tr w:rsidR="00F10A62" w:rsidRPr="00F10A62" w:rsidTr="001A5FBC">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lastRenderedPageBreak/>
              <w:t>Problem badawczy</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1A5FBC">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Badanie zostało poświęcone porównaniu metod prognozowania </w:t>
            </w:r>
            <w:r w:rsidR="001F01F2">
              <w:rPr>
                <w:rFonts w:ascii="Times New Roman" w:hAnsi="Times New Roman" w:cs="Times New Roman"/>
                <w:sz w:val="24"/>
                <w:szCs w:val="24"/>
              </w:rPr>
              <w:t>średniego miesięcznego</w:t>
            </w:r>
            <w:r>
              <w:rPr>
                <w:rFonts w:ascii="Times New Roman" w:hAnsi="Times New Roman" w:cs="Times New Roman"/>
                <w:sz w:val="24"/>
                <w:szCs w:val="24"/>
              </w:rPr>
              <w:t xml:space="preserve"> kursu walutowego euro do złotego</w:t>
            </w:r>
            <w:r w:rsidR="001F01F2">
              <w:rPr>
                <w:rFonts w:ascii="Times New Roman" w:hAnsi="Times New Roman" w:cs="Times New Roman"/>
                <w:sz w:val="24"/>
                <w:szCs w:val="24"/>
              </w:rPr>
              <w:t xml:space="preserve"> na jeden okres (miesiąc) do przodu</w:t>
            </w:r>
          </w:p>
        </w:tc>
      </w:tr>
      <w:tr w:rsidR="00F10A62" w:rsidRPr="00F10A62" w:rsidTr="001A5FBC">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Metodyka badawcza</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1A5FBC">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W badaniu zastosowano metodę</w:t>
            </w:r>
            <w:r w:rsidR="001F01F2">
              <w:rPr>
                <w:rFonts w:ascii="Times New Roman" w:hAnsi="Times New Roman" w:cs="Times New Roman"/>
                <w:sz w:val="24"/>
                <w:szCs w:val="24"/>
              </w:rPr>
              <w:t xml:space="preserve"> naiwną, metodę,</w:t>
            </w:r>
            <w:r>
              <w:rPr>
                <w:rFonts w:ascii="Times New Roman" w:hAnsi="Times New Roman" w:cs="Times New Roman"/>
                <w:sz w:val="24"/>
                <w:szCs w:val="24"/>
              </w:rPr>
              <w:t xml:space="preserve"> średnich ruchomych, </w:t>
            </w:r>
            <w:r w:rsidR="001F01F2">
              <w:rPr>
                <w:rFonts w:ascii="Times New Roman" w:hAnsi="Times New Roman" w:cs="Times New Roman"/>
                <w:sz w:val="24"/>
                <w:szCs w:val="24"/>
              </w:rPr>
              <w:t xml:space="preserve">metodę, </w:t>
            </w:r>
            <w:r>
              <w:rPr>
                <w:rFonts w:ascii="Times New Roman" w:hAnsi="Times New Roman" w:cs="Times New Roman"/>
                <w:sz w:val="24"/>
                <w:szCs w:val="24"/>
              </w:rPr>
              <w:t xml:space="preserve">prostego wygładzania wykładniczego, </w:t>
            </w:r>
            <w:r w:rsidR="00D65F33">
              <w:rPr>
                <w:rFonts w:ascii="Times New Roman" w:hAnsi="Times New Roman" w:cs="Times New Roman"/>
                <w:sz w:val="24"/>
                <w:szCs w:val="24"/>
              </w:rPr>
              <w:t>model ETS (uogólnionego</w:t>
            </w:r>
            <w:r>
              <w:rPr>
                <w:rFonts w:ascii="Times New Roman" w:hAnsi="Times New Roman" w:cs="Times New Roman"/>
                <w:sz w:val="24"/>
                <w:szCs w:val="24"/>
              </w:rPr>
              <w:t xml:space="preserve">, modelu </w:t>
            </w:r>
            <w:proofErr w:type="spellStart"/>
            <w:r>
              <w:rPr>
                <w:rFonts w:ascii="Times New Roman" w:hAnsi="Times New Roman" w:cs="Times New Roman"/>
                <w:sz w:val="24"/>
                <w:szCs w:val="24"/>
              </w:rPr>
              <w:t>Holta-Wintersa</w:t>
            </w:r>
            <w:proofErr w:type="spellEnd"/>
            <w:r w:rsidR="00D65F33">
              <w:rPr>
                <w:rFonts w:ascii="Times New Roman" w:hAnsi="Times New Roman" w:cs="Times New Roman"/>
                <w:sz w:val="24"/>
                <w:szCs w:val="24"/>
              </w:rPr>
              <w:t>)</w:t>
            </w:r>
            <w:r>
              <w:rPr>
                <w:rFonts w:ascii="Times New Roman" w:hAnsi="Times New Roman" w:cs="Times New Roman"/>
                <w:sz w:val="24"/>
                <w:szCs w:val="24"/>
              </w:rPr>
              <w:t xml:space="preserve"> oraz model</w:t>
            </w:r>
            <w:r w:rsidR="00D65F33">
              <w:rPr>
                <w:rFonts w:ascii="Times New Roman" w:hAnsi="Times New Roman" w:cs="Times New Roman"/>
                <w:sz w:val="24"/>
                <w:szCs w:val="24"/>
              </w:rPr>
              <w:t>u</w:t>
            </w:r>
            <w:r>
              <w:rPr>
                <w:rFonts w:ascii="Times New Roman" w:hAnsi="Times New Roman" w:cs="Times New Roman"/>
                <w:sz w:val="24"/>
                <w:szCs w:val="24"/>
              </w:rPr>
              <w:t xml:space="preserve"> ARIMA.</w:t>
            </w:r>
            <w:r w:rsidR="001F01F2">
              <w:rPr>
                <w:rFonts w:ascii="Times New Roman" w:hAnsi="Times New Roman" w:cs="Times New Roman"/>
                <w:sz w:val="24"/>
                <w:szCs w:val="24"/>
              </w:rPr>
              <w:t xml:space="preserve"> </w:t>
            </w:r>
            <w:r>
              <w:rPr>
                <w:rFonts w:ascii="Times New Roman" w:hAnsi="Times New Roman" w:cs="Times New Roman"/>
                <w:sz w:val="24"/>
                <w:szCs w:val="24"/>
              </w:rPr>
              <w:t xml:space="preserve"> Błędy prognozy szacowano za pomocą RMSE</w:t>
            </w:r>
            <w:r w:rsidR="001F01F2">
              <w:rPr>
                <w:rFonts w:ascii="Times New Roman" w:hAnsi="Times New Roman" w:cs="Times New Roman"/>
                <w:sz w:val="24"/>
                <w:szCs w:val="24"/>
              </w:rPr>
              <w:t>, MAPE oraz MAE.</w:t>
            </w:r>
          </w:p>
        </w:tc>
      </w:tr>
      <w:tr w:rsidR="00F10A62" w:rsidRPr="00F10A62" w:rsidTr="001A5FBC">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Dane</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A5FBC" w:rsidRPr="00920009" w:rsidRDefault="001A5FBC" w:rsidP="001A5FBC">
            <w:pPr>
              <w:spacing w:before="60" w:after="60" w:line="240" w:lineRule="auto"/>
              <w:jc w:val="both"/>
              <w:rPr>
                <w:rFonts w:ascii="Times New Roman" w:hAnsi="Times New Roman" w:cs="Times New Roman"/>
                <w:sz w:val="24"/>
                <w:szCs w:val="24"/>
              </w:rPr>
            </w:pPr>
            <w:r w:rsidRPr="00920009">
              <w:rPr>
                <w:rFonts w:ascii="Times New Roman" w:hAnsi="Times New Roman" w:cs="Times New Roman"/>
                <w:sz w:val="24"/>
                <w:szCs w:val="24"/>
              </w:rPr>
              <w:t>Dane wykorzystane w pracy dotyczą średniego miesięcznego kursu euro do złotego i pochodzą ze strony Narodowego Banku Polskiego. Kurs został uśredniony przez NBP pod względem ceny zakupu i sprzedaży oraz dni miesiąca. Dane zawierają 125 obserwacji od stycznia 2012 roku do maja 2022 roku.</w:t>
            </w:r>
            <w:r w:rsidR="001F01F2">
              <w:rPr>
                <w:rFonts w:ascii="Times New Roman" w:hAnsi="Times New Roman" w:cs="Times New Roman"/>
                <w:sz w:val="24"/>
                <w:szCs w:val="24"/>
              </w:rPr>
              <w:t xml:space="preserve"> Okres, na którym weryfikowano trafności prognozy poszczególnych modeli to 2 lata od czerwca 2020 do maja 2022 roku. </w:t>
            </w:r>
          </w:p>
          <w:p w:rsidR="00F10A62" w:rsidRPr="00F10A62" w:rsidRDefault="00F10A62" w:rsidP="001A5FBC">
            <w:pPr>
              <w:spacing w:before="60" w:after="60" w:line="240" w:lineRule="auto"/>
              <w:jc w:val="both"/>
              <w:rPr>
                <w:rFonts w:ascii="Times New Roman" w:hAnsi="Times New Roman" w:cs="Times New Roman"/>
                <w:sz w:val="24"/>
                <w:szCs w:val="24"/>
              </w:rPr>
            </w:pPr>
          </w:p>
        </w:tc>
      </w:tr>
      <w:tr w:rsidR="00F10A62" w:rsidRPr="00F10A62" w:rsidTr="001A5FBC">
        <w:tc>
          <w:tcPr>
            <w:tcW w:w="22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10A62" w:rsidRPr="00F10A62" w:rsidRDefault="00F10A62">
            <w:pPr>
              <w:spacing w:before="60" w:after="60" w:line="240" w:lineRule="auto"/>
              <w:jc w:val="both"/>
              <w:rPr>
                <w:rFonts w:ascii="Times New Roman" w:hAnsi="Times New Roman" w:cs="Times New Roman"/>
                <w:i/>
                <w:sz w:val="24"/>
                <w:szCs w:val="24"/>
              </w:rPr>
            </w:pPr>
            <w:r w:rsidRPr="00F10A62">
              <w:rPr>
                <w:rFonts w:ascii="Times New Roman" w:hAnsi="Times New Roman" w:cs="Times New Roman"/>
                <w:i/>
                <w:sz w:val="24"/>
                <w:szCs w:val="24"/>
              </w:rPr>
              <w:t>Główne wnioski</w:t>
            </w:r>
          </w:p>
        </w:tc>
        <w:tc>
          <w:tcPr>
            <w:tcW w:w="67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10A62" w:rsidRPr="00F10A62" w:rsidRDefault="001F01F2">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Najlepsze wyniki prognostyczne uzyskano dla modelu średniej ruchomej z oknem 6 ostatnich obserwacji, a najgorsze dla modelu ARIMA(3, 1, 0). Nie można było jednak odrzucić hipotezy, że uzyskane w ten sposób prognozy były statycznie istotnie bardziej trafne od prognozy innych modeli. Dla wszystkich modeli uzyskane wyniki MAPE wyniosły około 1%, co wskazuje na dosyć dobrą </w:t>
            </w:r>
            <w:r w:rsidR="00996C78">
              <w:rPr>
                <w:rFonts w:ascii="Times New Roman" w:hAnsi="Times New Roman" w:cs="Times New Roman"/>
                <w:sz w:val="24"/>
                <w:szCs w:val="24"/>
              </w:rPr>
              <w:t xml:space="preserve">wartość prognostyczną tych modeli. </w:t>
            </w:r>
          </w:p>
        </w:tc>
      </w:tr>
    </w:tbl>
    <w:p w:rsidR="00DB0060" w:rsidRDefault="00DB0060" w:rsidP="00DB0060">
      <w:pPr>
        <w:spacing w:line="360" w:lineRule="auto"/>
        <w:jc w:val="both"/>
        <w:rPr>
          <w:rFonts w:ascii="Times New Roman" w:hAnsi="Times New Roman" w:cs="Times New Roman"/>
          <w:sz w:val="24"/>
          <w:szCs w:val="24"/>
        </w:rPr>
      </w:pPr>
    </w:p>
    <w:p w:rsidR="001A5FBC" w:rsidRDefault="001A5FBC">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DB0060" w:rsidRPr="005F6402" w:rsidRDefault="00DB0060" w:rsidP="005F6402">
      <w:pPr>
        <w:pStyle w:val="Akapitzlist"/>
        <w:numPr>
          <w:ilvl w:val="0"/>
          <w:numId w:val="5"/>
        </w:numPr>
        <w:spacing w:line="360" w:lineRule="auto"/>
        <w:jc w:val="both"/>
        <w:rPr>
          <w:rFonts w:ascii="Times New Roman" w:hAnsi="Times New Roman" w:cs="Times New Roman"/>
          <w:b/>
          <w:sz w:val="24"/>
          <w:szCs w:val="24"/>
        </w:rPr>
      </w:pPr>
      <w:r w:rsidRPr="005F6402">
        <w:rPr>
          <w:rFonts w:ascii="Times New Roman" w:hAnsi="Times New Roman" w:cs="Times New Roman"/>
          <w:b/>
          <w:sz w:val="24"/>
          <w:szCs w:val="24"/>
        </w:rPr>
        <w:lastRenderedPageBreak/>
        <w:t>Wstęp</w:t>
      </w:r>
    </w:p>
    <w:p w:rsidR="002C166A" w:rsidRDefault="00DB0060" w:rsidP="002C166A">
      <w:pPr>
        <w:spacing w:line="360" w:lineRule="auto"/>
        <w:ind w:firstLine="720"/>
        <w:jc w:val="both"/>
        <w:rPr>
          <w:rFonts w:ascii="Times New Roman" w:hAnsi="Times New Roman" w:cs="Times New Roman"/>
          <w:sz w:val="24"/>
          <w:szCs w:val="24"/>
        </w:rPr>
      </w:pPr>
      <w:r w:rsidRPr="00DB0060">
        <w:rPr>
          <w:rFonts w:ascii="Times New Roman" w:hAnsi="Times New Roman" w:cs="Times New Roman"/>
          <w:sz w:val="24"/>
          <w:szCs w:val="24"/>
        </w:rPr>
        <w:t xml:space="preserve">W dobie globalizacji i integracji europejskiej </w:t>
      </w:r>
      <w:r w:rsidR="000512CE">
        <w:rPr>
          <w:rFonts w:ascii="Times New Roman" w:hAnsi="Times New Roman" w:cs="Times New Roman"/>
          <w:sz w:val="24"/>
          <w:szCs w:val="24"/>
        </w:rPr>
        <w:t>stajemy się</w:t>
      </w:r>
      <w:r w:rsidRPr="00DB0060">
        <w:rPr>
          <w:rFonts w:ascii="Times New Roman" w:hAnsi="Times New Roman" w:cs="Times New Roman"/>
          <w:sz w:val="24"/>
          <w:szCs w:val="24"/>
        </w:rPr>
        <w:t xml:space="preserve"> coraz bardziej zależni od innych krajów, również w kwestiach finansowych. Tym samym prognozowanie kursów walut </w:t>
      </w:r>
      <w:r w:rsidR="006F344F">
        <w:rPr>
          <w:rFonts w:ascii="Times New Roman" w:hAnsi="Times New Roman" w:cs="Times New Roman"/>
          <w:sz w:val="24"/>
          <w:szCs w:val="24"/>
        </w:rPr>
        <w:t xml:space="preserve">jest </w:t>
      </w:r>
      <w:r>
        <w:rPr>
          <w:rFonts w:ascii="Times New Roman" w:hAnsi="Times New Roman" w:cs="Times New Roman"/>
          <w:sz w:val="24"/>
          <w:szCs w:val="24"/>
        </w:rPr>
        <w:t xml:space="preserve">niezwykle </w:t>
      </w:r>
      <w:r w:rsidRPr="00DB0060">
        <w:rPr>
          <w:rFonts w:ascii="Times New Roman" w:hAnsi="Times New Roman" w:cs="Times New Roman"/>
          <w:sz w:val="24"/>
          <w:szCs w:val="24"/>
        </w:rPr>
        <w:t>istotnym zagadnieniem z punktu widzenia inwestorów, rządu, a także zwykłych konsumentów, którzy korzystają z zagranicznych produktów i usług.</w:t>
      </w:r>
      <w:r w:rsidR="0001397E">
        <w:rPr>
          <w:rFonts w:ascii="Times New Roman" w:hAnsi="Times New Roman" w:cs="Times New Roman"/>
          <w:sz w:val="24"/>
          <w:szCs w:val="24"/>
        </w:rPr>
        <w:t xml:space="preserve"> </w:t>
      </w:r>
      <w:r w:rsidR="006F344F">
        <w:rPr>
          <w:rFonts w:ascii="Times New Roman" w:hAnsi="Times New Roman" w:cs="Times New Roman"/>
          <w:sz w:val="24"/>
          <w:szCs w:val="24"/>
        </w:rPr>
        <w:t xml:space="preserve">Wiedza o przyszłym kursie walutowym pozwala na podejmowanie efektywniejszych decyzji w zakresie m.in. </w:t>
      </w:r>
      <w:r w:rsidR="002C166A">
        <w:rPr>
          <w:rFonts w:ascii="Times New Roman" w:hAnsi="Times New Roman" w:cs="Times New Roman"/>
          <w:sz w:val="24"/>
          <w:szCs w:val="24"/>
        </w:rPr>
        <w:t>transakcji giełdowych</w:t>
      </w:r>
      <w:r w:rsidR="006F344F">
        <w:rPr>
          <w:rFonts w:ascii="Times New Roman" w:hAnsi="Times New Roman" w:cs="Times New Roman"/>
          <w:sz w:val="24"/>
          <w:szCs w:val="24"/>
        </w:rPr>
        <w:t xml:space="preserve">, polityki gospodarczej czy osobistych finansów. </w:t>
      </w:r>
    </w:p>
    <w:p w:rsidR="006B33AC" w:rsidRDefault="006B33AC" w:rsidP="002C166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 kontekście Polski jedną z najważniejszych zagranicznych walut, w której prowadz</w:t>
      </w:r>
      <w:r w:rsidR="00F26A0D">
        <w:rPr>
          <w:rFonts w:ascii="Times New Roman" w:hAnsi="Times New Roman" w:cs="Times New Roman"/>
          <w:sz w:val="24"/>
          <w:szCs w:val="24"/>
        </w:rPr>
        <w:t xml:space="preserve">ona jest </w:t>
      </w:r>
      <w:r>
        <w:rPr>
          <w:rFonts w:ascii="Times New Roman" w:hAnsi="Times New Roman" w:cs="Times New Roman"/>
          <w:sz w:val="24"/>
          <w:szCs w:val="24"/>
        </w:rPr>
        <w:t>wymian</w:t>
      </w:r>
      <w:r w:rsidR="00F26A0D">
        <w:rPr>
          <w:rFonts w:ascii="Times New Roman" w:hAnsi="Times New Roman" w:cs="Times New Roman"/>
          <w:sz w:val="24"/>
          <w:szCs w:val="24"/>
        </w:rPr>
        <w:t>a</w:t>
      </w:r>
      <w:r>
        <w:rPr>
          <w:rFonts w:ascii="Times New Roman" w:hAnsi="Times New Roman" w:cs="Times New Roman"/>
          <w:sz w:val="24"/>
          <w:szCs w:val="24"/>
        </w:rPr>
        <w:t xml:space="preserve"> handlow</w:t>
      </w:r>
      <w:r w:rsidR="00F26A0D">
        <w:rPr>
          <w:rFonts w:ascii="Times New Roman" w:hAnsi="Times New Roman" w:cs="Times New Roman"/>
          <w:sz w:val="24"/>
          <w:szCs w:val="24"/>
        </w:rPr>
        <w:t>a</w:t>
      </w:r>
      <w:r>
        <w:rPr>
          <w:rFonts w:ascii="Times New Roman" w:hAnsi="Times New Roman" w:cs="Times New Roman"/>
          <w:sz w:val="24"/>
          <w:szCs w:val="24"/>
        </w:rPr>
        <w:t>, jest euro.</w:t>
      </w:r>
      <w:r w:rsidR="002C166A">
        <w:rPr>
          <w:rFonts w:ascii="Times New Roman" w:hAnsi="Times New Roman" w:cs="Times New Roman"/>
          <w:sz w:val="24"/>
          <w:szCs w:val="24"/>
        </w:rPr>
        <w:t xml:space="preserve"> Euro stanowi oficjalną walutę 19 państw Unii Europejskiej i kilku związanych z nią terytoriów. </w:t>
      </w:r>
      <w:r w:rsidR="005F6402">
        <w:rPr>
          <w:rFonts w:ascii="Times New Roman" w:hAnsi="Times New Roman" w:cs="Times New Roman"/>
          <w:sz w:val="24"/>
          <w:szCs w:val="24"/>
        </w:rPr>
        <w:t>Euro j</w:t>
      </w:r>
      <w:r w:rsidR="002C166A">
        <w:rPr>
          <w:rFonts w:ascii="Times New Roman" w:hAnsi="Times New Roman" w:cs="Times New Roman"/>
          <w:sz w:val="24"/>
          <w:szCs w:val="24"/>
        </w:rPr>
        <w:t xml:space="preserve">est również drugą największą walutą rezerwową i drugą najczęściej </w:t>
      </w:r>
      <w:r w:rsidR="005F6402">
        <w:rPr>
          <w:rFonts w:ascii="Times New Roman" w:hAnsi="Times New Roman" w:cs="Times New Roman"/>
          <w:sz w:val="24"/>
          <w:szCs w:val="24"/>
        </w:rPr>
        <w:t xml:space="preserve">wymienianą walutą po dolarze amerykańskim (Bank Rozrachunków Międzynarodowych, 2019). </w:t>
      </w:r>
    </w:p>
    <w:p w:rsidR="00AC7E95" w:rsidRDefault="00AC7E95" w:rsidP="006B33AC">
      <w:pPr>
        <w:spacing w:line="360" w:lineRule="auto"/>
        <w:ind w:firstLine="720"/>
        <w:jc w:val="both"/>
        <w:rPr>
          <w:rFonts w:ascii="Times New Roman" w:hAnsi="Times New Roman" w:cs="Times New Roman"/>
          <w:sz w:val="24"/>
          <w:szCs w:val="24"/>
          <w:lang w:val="en-US"/>
        </w:rPr>
      </w:pPr>
      <w:r w:rsidRPr="00BD08E1">
        <w:rPr>
          <w:rFonts w:ascii="Times New Roman" w:hAnsi="Times New Roman" w:cs="Times New Roman"/>
          <w:sz w:val="24"/>
          <w:szCs w:val="24"/>
        </w:rPr>
        <w:t xml:space="preserve">Głównym celem niniejszej pracy jest porównanie </w:t>
      </w:r>
      <w:r w:rsidR="00BD08E1">
        <w:rPr>
          <w:rFonts w:ascii="Times New Roman" w:hAnsi="Times New Roman" w:cs="Times New Roman"/>
          <w:sz w:val="24"/>
          <w:szCs w:val="24"/>
        </w:rPr>
        <w:t xml:space="preserve">trafności </w:t>
      </w:r>
      <w:r w:rsidRPr="00BD08E1">
        <w:rPr>
          <w:rFonts w:ascii="Times New Roman" w:hAnsi="Times New Roman" w:cs="Times New Roman"/>
          <w:sz w:val="24"/>
          <w:szCs w:val="24"/>
        </w:rPr>
        <w:t>prognoz</w:t>
      </w:r>
      <w:r w:rsidR="00BD08E1">
        <w:rPr>
          <w:rFonts w:ascii="Times New Roman" w:hAnsi="Times New Roman" w:cs="Times New Roman"/>
          <w:sz w:val="24"/>
          <w:szCs w:val="24"/>
        </w:rPr>
        <w:t xml:space="preserve"> średniego miesięcznego kursu euro do złotówki</w:t>
      </w:r>
      <w:r w:rsidRPr="00BD08E1">
        <w:rPr>
          <w:rFonts w:ascii="Times New Roman" w:hAnsi="Times New Roman" w:cs="Times New Roman"/>
          <w:sz w:val="24"/>
          <w:szCs w:val="24"/>
        </w:rPr>
        <w:t xml:space="preserve"> </w:t>
      </w:r>
      <w:r w:rsidR="00BD08E1" w:rsidRPr="00BD08E1">
        <w:rPr>
          <w:rFonts w:ascii="Times New Roman" w:hAnsi="Times New Roman" w:cs="Times New Roman"/>
          <w:sz w:val="24"/>
          <w:szCs w:val="24"/>
        </w:rPr>
        <w:t>stworzonych z wykorzystaniem</w:t>
      </w:r>
      <w:r w:rsidR="0001397E">
        <w:rPr>
          <w:rFonts w:ascii="Times New Roman" w:hAnsi="Times New Roman" w:cs="Times New Roman"/>
          <w:sz w:val="24"/>
          <w:szCs w:val="24"/>
        </w:rPr>
        <w:t xml:space="preserve"> metody naiwnej, średniej </w:t>
      </w:r>
      <w:r w:rsidR="00BD08E1" w:rsidRPr="00BD08E1">
        <w:rPr>
          <w:rFonts w:ascii="Times New Roman" w:hAnsi="Times New Roman" w:cs="Times New Roman"/>
          <w:sz w:val="24"/>
          <w:szCs w:val="24"/>
        </w:rPr>
        <w:t xml:space="preserve"> ruchomej</w:t>
      </w:r>
      <w:r w:rsidR="00BD08E1">
        <w:rPr>
          <w:rFonts w:ascii="Times New Roman" w:hAnsi="Times New Roman" w:cs="Times New Roman"/>
          <w:sz w:val="24"/>
          <w:szCs w:val="24"/>
        </w:rPr>
        <w:t xml:space="preserve">, wygładzania wykładniczego, </w:t>
      </w:r>
      <w:r w:rsidR="00E41F2E">
        <w:rPr>
          <w:rFonts w:ascii="Times New Roman" w:hAnsi="Times New Roman" w:cs="Times New Roman"/>
          <w:sz w:val="24"/>
          <w:szCs w:val="24"/>
        </w:rPr>
        <w:t xml:space="preserve">modelu ETS (uogólnionego modelu </w:t>
      </w:r>
      <w:proofErr w:type="spellStart"/>
      <w:r w:rsidR="00E41F2E">
        <w:rPr>
          <w:rFonts w:ascii="Times New Roman" w:hAnsi="Times New Roman" w:cs="Times New Roman"/>
          <w:sz w:val="24"/>
          <w:szCs w:val="24"/>
        </w:rPr>
        <w:t>Holta-Wintersa</w:t>
      </w:r>
      <w:proofErr w:type="spellEnd"/>
      <w:r w:rsidR="00E41F2E">
        <w:rPr>
          <w:rFonts w:ascii="Times New Roman" w:hAnsi="Times New Roman" w:cs="Times New Roman"/>
          <w:sz w:val="24"/>
          <w:szCs w:val="24"/>
        </w:rPr>
        <w:t xml:space="preserve">) </w:t>
      </w:r>
      <w:r w:rsidR="0001397E">
        <w:rPr>
          <w:rFonts w:ascii="Times New Roman" w:hAnsi="Times New Roman" w:cs="Times New Roman"/>
          <w:sz w:val="24"/>
          <w:szCs w:val="24"/>
        </w:rPr>
        <w:t>oraz model</w:t>
      </w:r>
      <w:r w:rsidR="00E41F2E">
        <w:rPr>
          <w:rFonts w:ascii="Times New Roman" w:hAnsi="Times New Roman" w:cs="Times New Roman"/>
          <w:sz w:val="24"/>
          <w:szCs w:val="24"/>
        </w:rPr>
        <w:t xml:space="preserve">u </w:t>
      </w:r>
      <w:r w:rsidR="0001397E">
        <w:rPr>
          <w:rFonts w:ascii="Times New Roman" w:hAnsi="Times New Roman" w:cs="Times New Roman"/>
          <w:sz w:val="24"/>
          <w:szCs w:val="24"/>
        </w:rPr>
        <w:t>ARIMA</w:t>
      </w:r>
      <w:r w:rsidR="00BD08E1">
        <w:rPr>
          <w:rFonts w:ascii="Times New Roman" w:hAnsi="Times New Roman" w:cs="Times New Roman"/>
          <w:sz w:val="24"/>
          <w:szCs w:val="24"/>
        </w:rPr>
        <w:t xml:space="preserve">. </w:t>
      </w:r>
      <w:proofErr w:type="spellStart"/>
      <w:r w:rsidR="00BD08E1" w:rsidRPr="00DB0060">
        <w:rPr>
          <w:rFonts w:ascii="Times New Roman" w:hAnsi="Times New Roman" w:cs="Times New Roman"/>
          <w:sz w:val="24"/>
          <w:szCs w:val="24"/>
          <w:lang w:val="en-US"/>
        </w:rPr>
        <w:t>Praca</w:t>
      </w:r>
      <w:proofErr w:type="spellEnd"/>
      <w:r w:rsidR="00BD08E1" w:rsidRPr="00DB0060">
        <w:rPr>
          <w:rFonts w:ascii="Times New Roman" w:hAnsi="Times New Roman" w:cs="Times New Roman"/>
          <w:sz w:val="24"/>
          <w:szCs w:val="24"/>
          <w:lang w:val="en-US"/>
        </w:rPr>
        <w:t xml:space="preserve"> jest </w:t>
      </w:r>
      <w:proofErr w:type="spellStart"/>
      <w:r w:rsidR="00BD08E1" w:rsidRPr="00DB0060">
        <w:rPr>
          <w:rFonts w:ascii="Times New Roman" w:hAnsi="Times New Roman" w:cs="Times New Roman"/>
          <w:sz w:val="24"/>
          <w:szCs w:val="24"/>
          <w:lang w:val="en-US"/>
        </w:rPr>
        <w:t>inspirowana</w:t>
      </w:r>
      <w:proofErr w:type="spellEnd"/>
      <w:r w:rsidR="00BD08E1" w:rsidRPr="00DB0060">
        <w:rPr>
          <w:rFonts w:ascii="Times New Roman" w:hAnsi="Times New Roman" w:cs="Times New Roman"/>
          <w:sz w:val="24"/>
          <w:szCs w:val="24"/>
          <w:lang w:val="en-US"/>
        </w:rPr>
        <w:t xml:space="preserve"> </w:t>
      </w:r>
      <w:proofErr w:type="spellStart"/>
      <w:r w:rsidR="00BD08E1" w:rsidRPr="00DB0060">
        <w:rPr>
          <w:rFonts w:ascii="Times New Roman" w:hAnsi="Times New Roman" w:cs="Times New Roman"/>
          <w:sz w:val="24"/>
          <w:szCs w:val="24"/>
          <w:lang w:val="en-US"/>
        </w:rPr>
        <w:t>artykułem</w:t>
      </w:r>
      <w:proofErr w:type="spellEnd"/>
      <w:r w:rsidR="00BD08E1" w:rsidRPr="00DB0060">
        <w:rPr>
          <w:rFonts w:ascii="Times New Roman" w:hAnsi="Times New Roman" w:cs="Times New Roman"/>
          <w:sz w:val="24"/>
          <w:szCs w:val="24"/>
          <w:lang w:val="en-US"/>
        </w:rPr>
        <w:t xml:space="preserve"> </w:t>
      </w:r>
      <w:r w:rsidR="00DB0060" w:rsidRPr="00DB0060">
        <w:rPr>
          <w:rFonts w:ascii="Times New Roman" w:hAnsi="Times New Roman" w:cs="Times New Roman"/>
          <w:sz w:val="24"/>
          <w:szCs w:val="24"/>
          <w:lang w:val="en-US"/>
        </w:rPr>
        <w:t>„</w:t>
      </w:r>
      <w:r w:rsidR="00DB0060" w:rsidRPr="00BD08E1">
        <w:rPr>
          <w:rFonts w:ascii="Times New Roman" w:hAnsi="Times New Roman" w:cs="Times New Roman"/>
          <w:sz w:val="24"/>
          <w:szCs w:val="24"/>
          <w:lang w:val="en-US"/>
        </w:rPr>
        <w:t>An Application Of Exchange Rates Forecasting In Turkey</w:t>
      </w:r>
      <w:r w:rsidR="00DB0060">
        <w:rPr>
          <w:rFonts w:ascii="Times New Roman" w:hAnsi="Times New Roman" w:cs="Times New Roman"/>
          <w:sz w:val="24"/>
          <w:szCs w:val="24"/>
          <w:lang w:val="en-US"/>
        </w:rPr>
        <w:t>”</w:t>
      </w:r>
      <w:r w:rsidR="00DB0060" w:rsidRPr="00DB0060">
        <w:rPr>
          <w:rFonts w:ascii="Times New Roman" w:hAnsi="Times New Roman" w:cs="Times New Roman"/>
          <w:sz w:val="24"/>
          <w:szCs w:val="24"/>
          <w:lang w:val="en-US"/>
        </w:rPr>
        <w:t xml:space="preserve"> </w:t>
      </w:r>
      <w:proofErr w:type="spellStart"/>
      <w:r w:rsidR="00BD08E1" w:rsidRPr="00DB0060">
        <w:rPr>
          <w:rFonts w:ascii="Times New Roman" w:hAnsi="Times New Roman" w:cs="Times New Roman"/>
          <w:sz w:val="24"/>
          <w:szCs w:val="24"/>
          <w:lang w:val="en-US"/>
        </w:rPr>
        <w:t>Aykan</w:t>
      </w:r>
      <w:proofErr w:type="spellEnd"/>
      <w:r w:rsidR="00BD08E1" w:rsidRPr="00DB0060">
        <w:rPr>
          <w:rFonts w:ascii="Times New Roman" w:hAnsi="Times New Roman" w:cs="Times New Roman"/>
          <w:sz w:val="24"/>
          <w:szCs w:val="24"/>
          <w:lang w:val="en-US"/>
        </w:rPr>
        <w:t xml:space="preserve">, </w:t>
      </w:r>
      <w:proofErr w:type="spellStart"/>
      <w:r w:rsidR="00BD08E1" w:rsidRPr="00DB0060">
        <w:rPr>
          <w:rFonts w:ascii="Times New Roman" w:hAnsi="Times New Roman" w:cs="Times New Roman"/>
          <w:sz w:val="24"/>
          <w:szCs w:val="24"/>
          <w:lang w:val="en-US"/>
        </w:rPr>
        <w:t>Temiz</w:t>
      </w:r>
      <w:proofErr w:type="spellEnd"/>
      <w:r w:rsidR="00BD08E1" w:rsidRPr="00DB0060">
        <w:rPr>
          <w:rFonts w:ascii="Times New Roman" w:hAnsi="Times New Roman" w:cs="Times New Roman"/>
          <w:sz w:val="24"/>
          <w:szCs w:val="24"/>
          <w:lang w:val="en-US"/>
        </w:rPr>
        <w:t xml:space="preserve"> </w:t>
      </w:r>
      <w:proofErr w:type="spellStart"/>
      <w:r w:rsidR="00BD08E1" w:rsidRPr="00DB0060">
        <w:rPr>
          <w:rFonts w:ascii="Times New Roman" w:hAnsi="Times New Roman" w:cs="Times New Roman"/>
          <w:sz w:val="24"/>
          <w:szCs w:val="24"/>
          <w:lang w:val="en-US"/>
        </w:rPr>
        <w:t>i</w:t>
      </w:r>
      <w:proofErr w:type="spellEnd"/>
      <w:r w:rsidR="00BD08E1" w:rsidRPr="00DB0060">
        <w:rPr>
          <w:rFonts w:ascii="Times New Roman" w:hAnsi="Times New Roman" w:cs="Times New Roman"/>
          <w:sz w:val="24"/>
          <w:szCs w:val="24"/>
          <w:lang w:val="en-US"/>
        </w:rPr>
        <w:t xml:space="preserve"> </w:t>
      </w:r>
      <w:proofErr w:type="spellStart"/>
      <w:r w:rsidR="00BD08E1" w:rsidRPr="00DB0060">
        <w:rPr>
          <w:rFonts w:ascii="Times New Roman" w:hAnsi="Times New Roman" w:cs="Times New Roman"/>
          <w:sz w:val="24"/>
          <w:szCs w:val="24"/>
          <w:lang w:val="en-US"/>
        </w:rPr>
        <w:t>Sahin</w:t>
      </w:r>
      <w:proofErr w:type="spellEnd"/>
      <w:r w:rsidR="00BD08E1" w:rsidRPr="00DB0060">
        <w:rPr>
          <w:rFonts w:ascii="Times New Roman" w:hAnsi="Times New Roman" w:cs="Times New Roman"/>
          <w:sz w:val="24"/>
          <w:szCs w:val="24"/>
          <w:lang w:val="en-US"/>
        </w:rPr>
        <w:t xml:space="preserve"> </w:t>
      </w:r>
      <w:r w:rsidR="00DB0060" w:rsidRPr="00DB0060">
        <w:rPr>
          <w:rFonts w:ascii="Times New Roman" w:hAnsi="Times New Roman" w:cs="Times New Roman"/>
          <w:sz w:val="24"/>
          <w:szCs w:val="24"/>
          <w:lang w:val="en-US"/>
        </w:rPr>
        <w:t>(2011)</w:t>
      </w:r>
      <w:r w:rsidR="00DB0060">
        <w:rPr>
          <w:rFonts w:ascii="Times New Roman" w:hAnsi="Times New Roman" w:cs="Times New Roman"/>
          <w:sz w:val="24"/>
          <w:szCs w:val="24"/>
          <w:lang w:val="en-US"/>
        </w:rPr>
        <w:t xml:space="preserve">. </w:t>
      </w:r>
    </w:p>
    <w:p w:rsidR="00FC0BDE" w:rsidRDefault="00FC0BDE" w:rsidP="00DB0060">
      <w:pPr>
        <w:spacing w:line="360" w:lineRule="auto"/>
        <w:ind w:firstLine="720"/>
        <w:jc w:val="both"/>
        <w:rPr>
          <w:rFonts w:ascii="Times New Roman" w:hAnsi="Times New Roman" w:cs="Times New Roman"/>
          <w:sz w:val="24"/>
          <w:szCs w:val="24"/>
          <w:lang w:val="en-US"/>
        </w:rPr>
      </w:pPr>
    </w:p>
    <w:p w:rsidR="00FC0BDE" w:rsidRPr="005F6402" w:rsidRDefault="00FC0BDE" w:rsidP="005F6402">
      <w:pPr>
        <w:pStyle w:val="Akapitzlist"/>
        <w:numPr>
          <w:ilvl w:val="0"/>
          <w:numId w:val="5"/>
        </w:numPr>
        <w:spacing w:line="360" w:lineRule="auto"/>
        <w:jc w:val="both"/>
        <w:rPr>
          <w:rFonts w:ascii="Times New Roman" w:hAnsi="Times New Roman" w:cs="Times New Roman"/>
          <w:b/>
          <w:sz w:val="24"/>
          <w:szCs w:val="24"/>
          <w:lang w:val="en-US"/>
        </w:rPr>
      </w:pPr>
      <w:proofErr w:type="spellStart"/>
      <w:r w:rsidRPr="005F6402">
        <w:rPr>
          <w:rFonts w:ascii="Times New Roman" w:hAnsi="Times New Roman" w:cs="Times New Roman"/>
          <w:b/>
          <w:sz w:val="24"/>
          <w:szCs w:val="24"/>
          <w:lang w:val="en-US"/>
        </w:rPr>
        <w:t>Przegląd</w:t>
      </w:r>
      <w:proofErr w:type="spellEnd"/>
      <w:r w:rsidRPr="005F6402">
        <w:rPr>
          <w:rFonts w:ascii="Times New Roman" w:hAnsi="Times New Roman" w:cs="Times New Roman"/>
          <w:b/>
          <w:sz w:val="24"/>
          <w:szCs w:val="24"/>
          <w:lang w:val="en-US"/>
        </w:rPr>
        <w:t xml:space="preserve"> </w:t>
      </w:r>
      <w:proofErr w:type="spellStart"/>
      <w:r w:rsidRPr="005F6402">
        <w:rPr>
          <w:rFonts w:ascii="Times New Roman" w:hAnsi="Times New Roman" w:cs="Times New Roman"/>
          <w:b/>
          <w:sz w:val="24"/>
          <w:szCs w:val="24"/>
          <w:lang w:val="en-US"/>
        </w:rPr>
        <w:t>literatury</w:t>
      </w:r>
      <w:proofErr w:type="spellEnd"/>
    </w:p>
    <w:p w:rsidR="002C166A" w:rsidRDefault="00FC0BDE" w:rsidP="002C166A">
      <w:pPr>
        <w:spacing w:line="360" w:lineRule="auto"/>
        <w:ind w:firstLine="720"/>
        <w:jc w:val="both"/>
        <w:rPr>
          <w:rFonts w:ascii="Times New Roman" w:hAnsi="Times New Roman" w:cs="Times New Roman"/>
          <w:sz w:val="24"/>
          <w:szCs w:val="24"/>
        </w:rPr>
      </w:pPr>
      <w:r w:rsidRPr="00FC0BDE">
        <w:rPr>
          <w:rFonts w:ascii="Times New Roman" w:hAnsi="Times New Roman" w:cs="Times New Roman"/>
          <w:sz w:val="24"/>
          <w:szCs w:val="24"/>
        </w:rPr>
        <w:t>Wielu badaczy jest zainteresowanych prognozowaniem kursów walut</w:t>
      </w:r>
      <w:r w:rsidR="005F6402">
        <w:rPr>
          <w:rFonts w:ascii="Times New Roman" w:hAnsi="Times New Roman" w:cs="Times New Roman"/>
          <w:sz w:val="24"/>
          <w:szCs w:val="24"/>
        </w:rPr>
        <w:t>, a w swoich pracach</w:t>
      </w:r>
      <w:r w:rsidR="002C166A">
        <w:rPr>
          <w:rFonts w:ascii="Times New Roman" w:hAnsi="Times New Roman" w:cs="Times New Roman"/>
          <w:sz w:val="24"/>
          <w:szCs w:val="24"/>
        </w:rPr>
        <w:t xml:space="preserve"> wykorzyst</w:t>
      </w:r>
      <w:r w:rsidR="005F6402">
        <w:rPr>
          <w:rFonts w:ascii="Times New Roman" w:hAnsi="Times New Roman" w:cs="Times New Roman"/>
          <w:sz w:val="24"/>
          <w:szCs w:val="24"/>
        </w:rPr>
        <w:t>ują</w:t>
      </w:r>
      <w:r w:rsidR="002C166A">
        <w:rPr>
          <w:rFonts w:ascii="Times New Roman" w:hAnsi="Times New Roman" w:cs="Times New Roman"/>
          <w:sz w:val="24"/>
          <w:szCs w:val="24"/>
        </w:rPr>
        <w:t xml:space="preserve"> różn</w:t>
      </w:r>
      <w:r w:rsidR="005F6402">
        <w:rPr>
          <w:rFonts w:ascii="Times New Roman" w:hAnsi="Times New Roman" w:cs="Times New Roman"/>
          <w:sz w:val="24"/>
          <w:szCs w:val="24"/>
        </w:rPr>
        <w:t xml:space="preserve">e </w:t>
      </w:r>
      <w:r w:rsidR="002C166A">
        <w:rPr>
          <w:rFonts w:ascii="Times New Roman" w:hAnsi="Times New Roman" w:cs="Times New Roman"/>
          <w:sz w:val="24"/>
          <w:szCs w:val="24"/>
        </w:rPr>
        <w:t>metody o różnym stopniu zaawansowania.</w:t>
      </w:r>
      <w:r w:rsidR="005F6402">
        <w:rPr>
          <w:rFonts w:ascii="Times New Roman" w:hAnsi="Times New Roman" w:cs="Times New Roman"/>
          <w:sz w:val="24"/>
          <w:szCs w:val="24"/>
        </w:rPr>
        <w:t xml:space="preserve"> Warto na początku zwrócić uwagę, że wybór optymalnego modelu silnie zależy od benchmarku, horyzontu prognozy, badanego okresu i metody pomiaru jakości prognozy (Rossi, 2013). </w:t>
      </w:r>
    </w:p>
    <w:p w:rsidR="005F6402" w:rsidRDefault="005F6402" w:rsidP="005F640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Najprostszą metodą prognozowania kursu jest metoda naiwna (błądzenie przypadkowe bez dryftu)</w:t>
      </w:r>
      <w:r w:rsidR="00585D32">
        <w:rPr>
          <w:rFonts w:ascii="Times New Roman" w:hAnsi="Times New Roman" w:cs="Times New Roman"/>
          <w:sz w:val="24"/>
          <w:szCs w:val="24"/>
        </w:rPr>
        <w:t xml:space="preserve">. </w:t>
      </w:r>
      <w:r>
        <w:rPr>
          <w:rFonts w:ascii="Times New Roman" w:hAnsi="Times New Roman" w:cs="Times New Roman"/>
          <w:sz w:val="24"/>
          <w:szCs w:val="24"/>
        </w:rPr>
        <w:t xml:space="preserve">Ze względu na charakter wahań kursów walutowych – </w:t>
      </w:r>
      <w:r w:rsidR="00112693">
        <w:rPr>
          <w:rFonts w:ascii="Times New Roman" w:hAnsi="Times New Roman" w:cs="Times New Roman"/>
          <w:sz w:val="24"/>
          <w:szCs w:val="24"/>
        </w:rPr>
        <w:t>wysoką zmienność oraz brak wyraźnego trendu – jest ona często uważana w krótkim okresie za najlepszy benchmark dla innych, bardziej skomplikowanych metod (</w:t>
      </w:r>
      <w:proofErr w:type="spellStart"/>
      <w:r w:rsidR="00112693">
        <w:rPr>
          <w:rFonts w:ascii="Times New Roman" w:hAnsi="Times New Roman" w:cs="Times New Roman"/>
          <w:sz w:val="24"/>
          <w:szCs w:val="24"/>
        </w:rPr>
        <w:t>Meese</w:t>
      </w:r>
      <w:proofErr w:type="spellEnd"/>
      <w:r w:rsidR="00112693">
        <w:rPr>
          <w:rFonts w:ascii="Times New Roman" w:hAnsi="Times New Roman" w:cs="Times New Roman"/>
          <w:sz w:val="24"/>
          <w:szCs w:val="24"/>
        </w:rPr>
        <w:t xml:space="preserve">, </w:t>
      </w:r>
      <w:proofErr w:type="spellStart"/>
      <w:r w:rsidR="00112693">
        <w:rPr>
          <w:rFonts w:ascii="Times New Roman" w:hAnsi="Times New Roman" w:cs="Times New Roman"/>
          <w:sz w:val="24"/>
          <w:szCs w:val="24"/>
        </w:rPr>
        <w:t>Rogoff</w:t>
      </w:r>
      <w:proofErr w:type="spellEnd"/>
      <w:r w:rsidR="00112693">
        <w:rPr>
          <w:rFonts w:ascii="Times New Roman" w:hAnsi="Times New Roman" w:cs="Times New Roman"/>
          <w:sz w:val="24"/>
          <w:szCs w:val="24"/>
        </w:rPr>
        <w:t xml:space="preserve">, 1983). </w:t>
      </w:r>
      <w:r w:rsidR="00755499">
        <w:rPr>
          <w:rFonts w:ascii="Times New Roman" w:hAnsi="Times New Roman" w:cs="Times New Roman"/>
          <w:sz w:val="24"/>
          <w:szCs w:val="24"/>
        </w:rPr>
        <w:t>Inną stosunkową prostą metodą</w:t>
      </w:r>
      <w:r w:rsidR="00585D32">
        <w:rPr>
          <w:rFonts w:ascii="Times New Roman" w:hAnsi="Times New Roman" w:cs="Times New Roman"/>
          <w:sz w:val="24"/>
          <w:szCs w:val="24"/>
        </w:rPr>
        <w:t xml:space="preserve">, która może być wykorzystywana w celach porównawczych, jest metoda średniej ruchomej (np. </w:t>
      </w:r>
      <w:proofErr w:type="spellStart"/>
      <w:r w:rsidR="00585D32">
        <w:rPr>
          <w:rFonts w:ascii="Times New Roman" w:hAnsi="Times New Roman" w:cs="Times New Roman"/>
          <w:sz w:val="24"/>
          <w:szCs w:val="24"/>
        </w:rPr>
        <w:t>Akincilar</w:t>
      </w:r>
      <w:proofErr w:type="spellEnd"/>
      <w:r w:rsidR="00585D32">
        <w:rPr>
          <w:rFonts w:ascii="Times New Roman" w:hAnsi="Times New Roman" w:cs="Times New Roman"/>
          <w:sz w:val="24"/>
          <w:szCs w:val="24"/>
        </w:rPr>
        <w:t xml:space="preserve">, </w:t>
      </w:r>
      <w:proofErr w:type="spellStart"/>
      <w:r w:rsidR="00585D32">
        <w:rPr>
          <w:rFonts w:ascii="Times New Roman" w:hAnsi="Times New Roman" w:cs="Times New Roman"/>
          <w:sz w:val="24"/>
          <w:szCs w:val="24"/>
        </w:rPr>
        <w:t>Temiz</w:t>
      </w:r>
      <w:proofErr w:type="spellEnd"/>
      <w:r w:rsidR="00585D32">
        <w:rPr>
          <w:rFonts w:ascii="Times New Roman" w:hAnsi="Times New Roman" w:cs="Times New Roman"/>
          <w:sz w:val="24"/>
          <w:szCs w:val="24"/>
        </w:rPr>
        <w:t xml:space="preserve">, </w:t>
      </w:r>
      <w:proofErr w:type="spellStart"/>
      <w:r w:rsidR="00585D32">
        <w:rPr>
          <w:rFonts w:ascii="Times New Roman" w:hAnsi="Times New Roman" w:cs="Times New Roman"/>
          <w:sz w:val="24"/>
          <w:szCs w:val="24"/>
        </w:rPr>
        <w:t>Sahin</w:t>
      </w:r>
      <w:proofErr w:type="spellEnd"/>
      <w:r w:rsidR="00585D32">
        <w:rPr>
          <w:rFonts w:ascii="Times New Roman" w:hAnsi="Times New Roman" w:cs="Times New Roman"/>
          <w:sz w:val="24"/>
          <w:szCs w:val="24"/>
        </w:rPr>
        <w:t>, 2011).</w:t>
      </w:r>
    </w:p>
    <w:p w:rsidR="00755499" w:rsidRDefault="00A85766" w:rsidP="007554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Nieco b</w:t>
      </w:r>
      <w:r w:rsidR="00585D32">
        <w:rPr>
          <w:rFonts w:ascii="Times New Roman" w:hAnsi="Times New Roman" w:cs="Times New Roman"/>
          <w:sz w:val="24"/>
          <w:szCs w:val="24"/>
        </w:rPr>
        <w:t xml:space="preserve">ardziej zaawansowanymi metodami </w:t>
      </w:r>
      <w:r w:rsidR="00112693">
        <w:rPr>
          <w:rFonts w:ascii="Times New Roman" w:hAnsi="Times New Roman" w:cs="Times New Roman"/>
          <w:sz w:val="24"/>
          <w:szCs w:val="24"/>
        </w:rPr>
        <w:t>prognozowani</w:t>
      </w:r>
      <w:r w:rsidR="00585D32">
        <w:rPr>
          <w:rFonts w:ascii="Times New Roman" w:hAnsi="Times New Roman" w:cs="Times New Roman"/>
          <w:sz w:val="24"/>
          <w:szCs w:val="24"/>
        </w:rPr>
        <w:t>a kursu walutowego</w:t>
      </w:r>
      <w:r w:rsidR="00112693">
        <w:rPr>
          <w:rFonts w:ascii="Times New Roman" w:hAnsi="Times New Roman" w:cs="Times New Roman"/>
          <w:sz w:val="24"/>
          <w:szCs w:val="24"/>
        </w:rPr>
        <w:t xml:space="preserve"> są różne rodzaje wygładzania wykładniczego (np. </w:t>
      </w:r>
      <w:proofErr w:type="spellStart"/>
      <w:r w:rsidR="00112693" w:rsidRPr="00755499">
        <w:rPr>
          <w:rFonts w:ascii="Times New Roman" w:hAnsi="Times New Roman" w:cs="Times New Roman"/>
          <w:sz w:val="24"/>
          <w:szCs w:val="24"/>
        </w:rPr>
        <w:t>Fat</w:t>
      </w:r>
      <w:proofErr w:type="spellEnd"/>
      <w:r w:rsidR="00112693" w:rsidRPr="00755499">
        <w:rPr>
          <w:rFonts w:ascii="Times New Roman" w:hAnsi="Times New Roman" w:cs="Times New Roman"/>
          <w:sz w:val="24"/>
          <w:szCs w:val="24"/>
        </w:rPr>
        <w:t xml:space="preserve">, </w:t>
      </w:r>
      <w:proofErr w:type="spellStart"/>
      <w:r w:rsidR="00112693" w:rsidRPr="00755499">
        <w:rPr>
          <w:rFonts w:ascii="Times New Roman" w:hAnsi="Times New Roman" w:cs="Times New Roman"/>
          <w:sz w:val="24"/>
          <w:szCs w:val="24"/>
        </w:rPr>
        <w:t>Dezsi</w:t>
      </w:r>
      <w:proofErr w:type="spellEnd"/>
      <w:r w:rsidR="00112693" w:rsidRPr="00755499">
        <w:rPr>
          <w:rFonts w:ascii="Times New Roman" w:hAnsi="Times New Roman" w:cs="Times New Roman"/>
          <w:sz w:val="24"/>
          <w:szCs w:val="24"/>
        </w:rPr>
        <w:t>, 2011; Halicka, Winkowski, 2013)</w:t>
      </w:r>
      <w:r w:rsidR="00755499" w:rsidRPr="00755499">
        <w:rPr>
          <w:rFonts w:ascii="Times New Roman" w:hAnsi="Times New Roman" w:cs="Times New Roman"/>
          <w:sz w:val="24"/>
          <w:szCs w:val="24"/>
        </w:rPr>
        <w:t>. Należy do nich</w:t>
      </w:r>
      <w:r w:rsidR="00755499">
        <w:rPr>
          <w:rFonts w:ascii="Times New Roman" w:hAnsi="Times New Roman" w:cs="Times New Roman"/>
          <w:sz w:val="24"/>
          <w:szCs w:val="24"/>
        </w:rPr>
        <w:t xml:space="preserve"> m.in.</w:t>
      </w:r>
      <w:r w:rsidR="00755499" w:rsidRPr="00755499">
        <w:rPr>
          <w:rFonts w:ascii="Times New Roman" w:hAnsi="Times New Roman" w:cs="Times New Roman"/>
          <w:sz w:val="24"/>
          <w:szCs w:val="24"/>
        </w:rPr>
        <w:t xml:space="preserve"> proste wygładzanie w</w:t>
      </w:r>
      <w:r w:rsidR="00755499">
        <w:rPr>
          <w:rFonts w:ascii="Times New Roman" w:hAnsi="Times New Roman" w:cs="Times New Roman"/>
          <w:sz w:val="24"/>
          <w:szCs w:val="24"/>
        </w:rPr>
        <w:t xml:space="preserve">ykładnicze, modele </w:t>
      </w:r>
      <w:proofErr w:type="spellStart"/>
      <w:r w:rsidR="00755499">
        <w:rPr>
          <w:rFonts w:ascii="Times New Roman" w:hAnsi="Times New Roman" w:cs="Times New Roman"/>
          <w:sz w:val="24"/>
          <w:szCs w:val="24"/>
        </w:rPr>
        <w:t>Holta</w:t>
      </w:r>
      <w:proofErr w:type="spellEnd"/>
      <w:r w:rsidR="00755499">
        <w:rPr>
          <w:rFonts w:ascii="Times New Roman" w:hAnsi="Times New Roman" w:cs="Times New Roman"/>
          <w:sz w:val="24"/>
          <w:szCs w:val="24"/>
        </w:rPr>
        <w:t xml:space="preserve"> oraz modele </w:t>
      </w:r>
      <w:proofErr w:type="spellStart"/>
      <w:r w:rsidR="00755499">
        <w:rPr>
          <w:rFonts w:ascii="Times New Roman" w:hAnsi="Times New Roman" w:cs="Times New Roman"/>
          <w:sz w:val="24"/>
          <w:szCs w:val="24"/>
        </w:rPr>
        <w:t>Holta-Wintersa</w:t>
      </w:r>
      <w:proofErr w:type="spellEnd"/>
      <w:r w:rsidR="002F5A13">
        <w:rPr>
          <w:rFonts w:ascii="Times New Roman" w:hAnsi="Times New Roman" w:cs="Times New Roman"/>
          <w:sz w:val="24"/>
          <w:szCs w:val="24"/>
        </w:rPr>
        <w:t xml:space="preserve">. </w:t>
      </w:r>
      <w:r w:rsidR="00D06D2C">
        <w:rPr>
          <w:rFonts w:ascii="Times New Roman" w:hAnsi="Times New Roman" w:cs="Times New Roman"/>
          <w:sz w:val="24"/>
          <w:szCs w:val="24"/>
        </w:rPr>
        <w:t xml:space="preserve">Do prognozowania kursów wykorzystywane są również modele ARIMA. Dostarczają one jednak </w:t>
      </w:r>
      <w:r w:rsidR="002F5A13">
        <w:rPr>
          <w:rFonts w:ascii="Times New Roman" w:hAnsi="Times New Roman" w:cs="Times New Roman"/>
          <w:sz w:val="24"/>
          <w:szCs w:val="24"/>
        </w:rPr>
        <w:t xml:space="preserve">pewnych </w:t>
      </w:r>
      <w:r w:rsidR="00D06D2C">
        <w:rPr>
          <w:rFonts w:ascii="Times New Roman" w:hAnsi="Times New Roman" w:cs="Times New Roman"/>
          <w:sz w:val="24"/>
          <w:szCs w:val="24"/>
        </w:rPr>
        <w:t xml:space="preserve">trudności w </w:t>
      </w:r>
      <w:r w:rsidR="002F5A13">
        <w:rPr>
          <w:rFonts w:ascii="Times New Roman" w:hAnsi="Times New Roman" w:cs="Times New Roman"/>
          <w:sz w:val="24"/>
          <w:szCs w:val="24"/>
        </w:rPr>
        <w:t>do</w:t>
      </w:r>
      <w:r w:rsidR="00D06D2C">
        <w:rPr>
          <w:rFonts w:ascii="Times New Roman" w:hAnsi="Times New Roman" w:cs="Times New Roman"/>
          <w:sz w:val="24"/>
          <w:szCs w:val="24"/>
        </w:rPr>
        <w:t>borze parametrów i mogą nie dostosowywać się tak szybko do zmian warunków rynkowych w porównaniu do wygładzania wykładniczego</w:t>
      </w:r>
      <w:r w:rsidR="002F5A13">
        <w:rPr>
          <w:rFonts w:ascii="Times New Roman" w:hAnsi="Times New Roman" w:cs="Times New Roman"/>
          <w:sz w:val="24"/>
          <w:szCs w:val="24"/>
        </w:rPr>
        <w:t>, przez co osiągać gorsze wyniki w przypadku krótkookresowych prognoz (</w:t>
      </w:r>
      <w:proofErr w:type="spellStart"/>
      <w:r w:rsidR="002F5A13" w:rsidRPr="00755499">
        <w:rPr>
          <w:rFonts w:ascii="Times New Roman" w:hAnsi="Times New Roman" w:cs="Times New Roman"/>
          <w:sz w:val="24"/>
          <w:szCs w:val="24"/>
        </w:rPr>
        <w:t>Fat</w:t>
      </w:r>
      <w:proofErr w:type="spellEnd"/>
      <w:r w:rsidR="002F5A13" w:rsidRPr="00755499">
        <w:rPr>
          <w:rFonts w:ascii="Times New Roman" w:hAnsi="Times New Roman" w:cs="Times New Roman"/>
          <w:sz w:val="24"/>
          <w:szCs w:val="24"/>
        </w:rPr>
        <w:t xml:space="preserve">, </w:t>
      </w:r>
      <w:proofErr w:type="spellStart"/>
      <w:r w:rsidR="002F5A13" w:rsidRPr="00755499">
        <w:rPr>
          <w:rFonts w:ascii="Times New Roman" w:hAnsi="Times New Roman" w:cs="Times New Roman"/>
          <w:sz w:val="24"/>
          <w:szCs w:val="24"/>
        </w:rPr>
        <w:t>Dezsi</w:t>
      </w:r>
      <w:proofErr w:type="spellEnd"/>
      <w:r w:rsidR="002F5A13" w:rsidRPr="00755499">
        <w:rPr>
          <w:rFonts w:ascii="Times New Roman" w:hAnsi="Times New Roman" w:cs="Times New Roman"/>
          <w:sz w:val="24"/>
          <w:szCs w:val="24"/>
        </w:rPr>
        <w:t>, 2011</w:t>
      </w:r>
      <w:r w:rsidR="002F5A13">
        <w:rPr>
          <w:rFonts w:ascii="Times New Roman" w:hAnsi="Times New Roman" w:cs="Times New Roman"/>
          <w:sz w:val="24"/>
          <w:szCs w:val="24"/>
        </w:rPr>
        <w:t xml:space="preserve">). </w:t>
      </w:r>
    </w:p>
    <w:p w:rsidR="00755499" w:rsidRPr="00755499" w:rsidRDefault="00D06D2C" w:rsidP="007554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Do prognozowania kursów walutowych</w:t>
      </w:r>
      <w:r w:rsidR="00585D32">
        <w:rPr>
          <w:rFonts w:ascii="Times New Roman" w:hAnsi="Times New Roman" w:cs="Times New Roman"/>
          <w:sz w:val="24"/>
          <w:szCs w:val="24"/>
        </w:rPr>
        <w:t xml:space="preserve"> często</w:t>
      </w:r>
      <w:r>
        <w:rPr>
          <w:rFonts w:ascii="Times New Roman" w:hAnsi="Times New Roman" w:cs="Times New Roman"/>
          <w:sz w:val="24"/>
          <w:szCs w:val="24"/>
        </w:rPr>
        <w:t xml:space="preserve"> wykorzystywane </w:t>
      </w:r>
      <w:r w:rsidR="00585D32">
        <w:rPr>
          <w:rFonts w:ascii="Times New Roman" w:hAnsi="Times New Roman" w:cs="Times New Roman"/>
          <w:sz w:val="24"/>
          <w:szCs w:val="24"/>
        </w:rPr>
        <w:t>są również modele ARCH i GARCH</w:t>
      </w:r>
      <w:r>
        <w:rPr>
          <w:rFonts w:ascii="Times New Roman" w:hAnsi="Times New Roman" w:cs="Times New Roman"/>
          <w:sz w:val="24"/>
          <w:szCs w:val="24"/>
        </w:rPr>
        <w:t xml:space="preserve"> (np. </w:t>
      </w:r>
      <w:proofErr w:type="spellStart"/>
      <w:r w:rsidRPr="00D06D2C">
        <w:rPr>
          <w:rFonts w:ascii="Times New Roman" w:hAnsi="Times New Roman" w:cs="Times New Roman"/>
          <w:sz w:val="24"/>
          <w:szCs w:val="24"/>
        </w:rPr>
        <w:t>Ramzan</w:t>
      </w:r>
      <w:proofErr w:type="spellEnd"/>
      <w:r w:rsidRPr="00D06D2C">
        <w:rPr>
          <w:rFonts w:ascii="Times New Roman" w:hAnsi="Times New Roman" w:cs="Times New Roman"/>
          <w:sz w:val="24"/>
          <w:szCs w:val="24"/>
        </w:rPr>
        <w:t>,</w:t>
      </w:r>
      <w:r w:rsidR="00A85766">
        <w:rPr>
          <w:rFonts w:ascii="Times New Roman" w:hAnsi="Times New Roman" w:cs="Times New Roman"/>
          <w:sz w:val="24"/>
          <w:szCs w:val="24"/>
        </w:rPr>
        <w:t xml:space="preserve"> </w:t>
      </w:r>
      <w:proofErr w:type="spellStart"/>
      <w:r w:rsidR="00A85766">
        <w:rPr>
          <w:rFonts w:ascii="Times New Roman" w:hAnsi="Times New Roman" w:cs="Times New Roman"/>
          <w:sz w:val="24"/>
          <w:szCs w:val="24"/>
        </w:rPr>
        <w:t>Ramzan</w:t>
      </w:r>
      <w:proofErr w:type="spellEnd"/>
      <w:r w:rsidR="00A85766">
        <w:rPr>
          <w:rFonts w:ascii="Times New Roman" w:hAnsi="Times New Roman" w:cs="Times New Roman"/>
          <w:sz w:val="24"/>
          <w:szCs w:val="24"/>
        </w:rPr>
        <w:t>,</w:t>
      </w:r>
      <w:r w:rsidRPr="00D06D2C">
        <w:rPr>
          <w:rFonts w:ascii="Times New Roman" w:hAnsi="Times New Roman" w:cs="Times New Roman"/>
          <w:sz w:val="24"/>
          <w:szCs w:val="24"/>
        </w:rPr>
        <w:t xml:space="preserve"> </w:t>
      </w:r>
      <w:proofErr w:type="spellStart"/>
      <w:r w:rsidRPr="00D06D2C">
        <w:rPr>
          <w:rFonts w:ascii="Times New Roman" w:hAnsi="Times New Roman" w:cs="Times New Roman"/>
          <w:sz w:val="24"/>
          <w:szCs w:val="24"/>
        </w:rPr>
        <w:t>Zahid</w:t>
      </w:r>
      <w:proofErr w:type="spellEnd"/>
      <w:r w:rsidRPr="00D06D2C">
        <w:rPr>
          <w:rFonts w:ascii="Times New Roman" w:hAnsi="Times New Roman" w:cs="Times New Roman"/>
          <w:sz w:val="24"/>
          <w:szCs w:val="24"/>
        </w:rPr>
        <w:t>, 2012)</w:t>
      </w:r>
      <w:r>
        <w:rPr>
          <w:rFonts w:ascii="Times New Roman" w:hAnsi="Times New Roman" w:cs="Times New Roman"/>
          <w:sz w:val="24"/>
          <w:szCs w:val="24"/>
        </w:rPr>
        <w:t xml:space="preserve">, które ze względu na swoje charakterystyki dobrze nadają się do modelowania danych finansowych. Poza tym, stosowane są także </w:t>
      </w:r>
      <w:r w:rsidR="00A85766">
        <w:rPr>
          <w:rFonts w:ascii="Times New Roman" w:hAnsi="Times New Roman" w:cs="Times New Roman"/>
          <w:sz w:val="24"/>
          <w:szCs w:val="24"/>
        </w:rPr>
        <w:t xml:space="preserve">techniki oparte na </w:t>
      </w:r>
      <w:proofErr w:type="spellStart"/>
      <w:r w:rsidR="00A85766">
        <w:rPr>
          <w:rFonts w:ascii="Times New Roman" w:hAnsi="Times New Roman" w:cs="Times New Roman"/>
          <w:sz w:val="24"/>
          <w:szCs w:val="24"/>
        </w:rPr>
        <w:t>machine</w:t>
      </w:r>
      <w:proofErr w:type="spellEnd"/>
      <w:r w:rsidR="00A85766">
        <w:rPr>
          <w:rFonts w:ascii="Times New Roman" w:hAnsi="Times New Roman" w:cs="Times New Roman"/>
          <w:sz w:val="24"/>
          <w:szCs w:val="24"/>
        </w:rPr>
        <w:t xml:space="preserve"> learningu – modele sieci neuronowych np. LSTM (</w:t>
      </w:r>
      <w:proofErr w:type="spellStart"/>
      <w:r w:rsidR="00A85766">
        <w:rPr>
          <w:rFonts w:ascii="Times New Roman" w:hAnsi="Times New Roman" w:cs="Times New Roman"/>
          <w:sz w:val="24"/>
          <w:szCs w:val="24"/>
        </w:rPr>
        <w:t>Sung</w:t>
      </w:r>
      <w:proofErr w:type="spellEnd"/>
      <w:r w:rsidR="00A85766">
        <w:rPr>
          <w:rFonts w:ascii="Times New Roman" w:hAnsi="Times New Roman" w:cs="Times New Roman"/>
          <w:sz w:val="24"/>
          <w:szCs w:val="24"/>
        </w:rPr>
        <w:t xml:space="preserve">, </w:t>
      </w:r>
      <w:proofErr w:type="spellStart"/>
      <w:r w:rsidR="00A85766">
        <w:rPr>
          <w:rFonts w:ascii="Times New Roman" w:hAnsi="Times New Roman" w:cs="Times New Roman"/>
          <w:sz w:val="24"/>
          <w:szCs w:val="24"/>
        </w:rPr>
        <w:t>Wang</w:t>
      </w:r>
      <w:proofErr w:type="spellEnd"/>
      <w:r w:rsidR="00A85766">
        <w:rPr>
          <w:rFonts w:ascii="Times New Roman" w:hAnsi="Times New Roman" w:cs="Times New Roman"/>
          <w:sz w:val="24"/>
          <w:szCs w:val="24"/>
        </w:rPr>
        <w:t xml:space="preserve">, </w:t>
      </w:r>
      <w:proofErr w:type="spellStart"/>
      <w:r w:rsidR="00A85766">
        <w:rPr>
          <w:rFonts w:ascii="Times New Roman" w:hAnsi="Times New Roman" w:cs="Times New Roman"/>
          <w:sz w:val="24"/>
          <w:szCs w:val="24"/>
        </w:rPr>
        <w:t>Wei</w:t>
      </w:r>
      <w:proofErr w:type="spellEnd"/>
      <w:r w:rsidR="00A85766">
        <w:rPr>
          <w:rFonts w:ascii="Times New Roman" w:hAnsi="Times New Roman" w:cs="Times New Roman"/>
          <w:sz w:val="24"/>
          <w:szCs w:val="24"/>
        </w:rPr>
        <w:t>, 2020)</w:t>
      </w:r>
      <w:r w:rsidR="008F4427">
        <w:rPr>
          <w:rFonts w:ascii="Times New Roman" w:hAnsi="Times New Roman" w:cs="Times New Roman"/>
          <w:sz w:val="24"/>
          <w:szCs w:val="24"/>
        </w:rPr>
        <w:t xml:space="preserve"> czy modele SVM. Część badaczy łączy różne wymienione metody w celu uzyskania jeszcze trafniejszych wyników</w:t>
      </w:r>
      <w:r w:rsidR="008F4427" w:rsidRPr="008F4427">
        <w:rPr>
          <w:rFonts w:ascii="Times New Roman" w:hAnsi="Times New Roman" w:cs="Times New Roman"/>
          <w:sz w:val="24"/>
          <w:szCs w:val="24"/>
        </w:rPr>
        <w:t>.</w:t>
      </w:r>
      <w:r w:rsidR="008F4427">
        <w:rPr>
          <w:rFonts w:ascii="Times New Roman" w:hAnsi="Times New Roman" w:cs="Times New Roman"/>
          <w:sz w:val="24"/>
          <w:szCs w:val="24"/>
        </w:rPr>
        <w:t xml:space="preserve"> </w:t>
      </w:r>
      <w:r w:rsidR="006321E3">
        <w:rPr>
          <w:rFonts w:ascii="Times New Roman" w:hAnsi="Times New Roman" w:cs="Times New Roman"/>
          <w:sz w:val="24"/>
          <w:szCs w:val="24"/>
        </w:rPr>
        <w:t>Ponadto, spotykane są również modele monetarne, które opierają się na oddziaływaniu zmiennych makroekonomicznych na kurs walutowy (</w:t>
      </w:r>
      <w:proofErr w:type="spellStart"/>
      <w:r w:rsidR="006321E3" w:rsidRPr="008F4427">
        <w:rPr>
          <w:rFonts w:ascii="Times New Roman" w:hAnsi="Times New Roman" w:cs="Times New Roman"/>
          <w:sz w:val="24"/>
          <w:szCs w:val="24"/>
        </w:rPr>
        <w:t>Plakandaras</w:t>
      </w:r>
      <w:proofErr w:type="spellEnd"/>
      <w:r w:rsidR="006321E3" w:rsidRPr="008F4427">
        <w:rPr>
          <w:rFonts w:ascii="Times New Roman" w:hAnsi="Times New Roman" w:cs="Times New Roman"/>
          <w:sz w:val="24"/>
          <w:szCs w:val="24"/>
        </w:rPr>
        <w:t xml:space="preserve">, </w:t>
      </w:r>
      <w:proofErr w:type="spellStart"/>
      <w:r w:rsidR="006321E3" w:rsidRPr="008F4427">
        <w:rPr>
          <w:rFonts w:ascii="Times New Roman" w:hAnsi="Times New Roman" w:cs="Times New Roman"/>
          <w:sz w:val="24"/>
          <w:szCs w:val="24"/>
        </w:rPr>
        <w:t>Papadimitriou</w:t>
      </w:r>
      <w:proofErr w:type="spellEnd"/>
      <w:r w:rsidR="006321E3" w:rsidRPr="008F4427">
        <w:rPr>
          <w:rFonts w:ascii="Times New Roman" w:hAnsi="Times New Roman" w:cs="Times New Roman"/>
          <w:sz w:val="24"/>
          <w:szCs w:val="24"/>
        </w:rPr>
        <w:t xml:space="preserve">, </w:t>
      </w:r>
      <w:proofErr w:type="spellStart"/>
      <w:r w:rsidR="006321E3" w:rsidRPr="008F4427">
        <w:rPr>
          <w:rFonts w:ascii="Times New Roman" w:hAnsi="Times New Roman" w:cs="Times New Roman"/>
          <w:sz w:val="24"/>
          <w:szCs w:val="24"/>
        </w:rPr>
        <w:t>Gogas</w:t>
      </w:r>
      <w:proofErr w:type="spellEnd"/>
      <w:r w:rsidR="006321E3" w:rsidRPr="008F4427">
        <w:rPr>
          <w:rFonts w:ascii="Times New Roman" w:hAnsi="Times New Roman" w:cs="Times New Roman"/>
          <w:sz w:val="24"/>
          <w:szCs w:val="24"/>
        </w:rPr>
        <w:t>, 2015)</w:t>
      </w:r>
      <w:r w:rsidR="006321E3">
        <w:rPr>
          <w:rFonts w:ascii="Times New Roman" w:hAnsi="Times New Roman" w:cs="Times New Roman"/>
          <w:sz w:val="24"/>
          <w:szCs w:val="24"/>
        </w:rPr>
        <w:t xml:space="preserve">. </w:t>
      </w:r>
    </w:p>
    <w:p w:rsidR="003F096B" w:rsidRDefault="003F096B" w:rsidP="0082145D">
      <w:pPr>
        <w:spacing w:line="360" w:lineRule="auto"/>
        <w:jc w:val="both"/>
        <w:rPr>
          <w:rFonts w:ascii="Times New Roman" w:hAnsi="Times New Roman" w:cs="Times New Roman"/>
          <w:sz w:val="24"/>
          <w:szCs w:val="24"/>
        </w:rPr>
      </w:pPr>
    </w:p>
    <w:p w:rsidR="00920009" w:rsidRPr="00920009" w:rsidRDefault="003F096B" w:rsidP="00920009">
      <w:pPr>
        <w:pStyle w:val="Akapitzlist"/>
        <w:numPr>
          <w:ilvl w:val="0"/>
          <w:numId w:val="5"/>
        </w:numPr>
        <w:spacing w:line="360" w:lineRule="auto"/>
        <w:jc w:val="both"/>
        <w:rPr>
          <w:rFonts w:ascii="Times New Roman" w:hAnsi="Times New Roman" w:cs="Times New Roman"/>
          <w:b/>
          <w:sz w:val="24"/>
          <w:szCs w:val="24"/>
        </w:rPr>
      </w:pPr>
      <w:r w:rsidRPr="00920009">
        <w:rPr>
          <w:rFonts w:ascii="Times New Roman" w:hAnsi="Times New Roman" w:cs="Times New Roman"/>
          <w:b/>
          <w:sz w:val="24"/>
          <w:szCs w:val="24"/>
        </w:rPr>
        <w:t>Dane</w:t>
      </w:r>
    </w:p>
    <w:p w:rsidR="001D3263" w:rsidRPr="00920009" w:rsidRDefault="00172A61" w:rsidP="00920009">
      <w:pPr>
        <w:spacing w:line="360" w:lineRule="auto"/>
        <w:ind w:firstLine="720"/>
        <w:jc w:val="both"/>
        <w:rPr>
          <w:rFonts w:ascii="Times New Roman" w:hAnsi="Times New Roman" w:cs="Times New Roman"/>
          <w:sz w:val="24"/>
          <w:szCs w:val="24"/>
        </w:rPr>
      </w:pPr>
      <w:r w:rsidRPr="00920009">
        <w:rPr>
          <w:rFonts w:ascii="Times New Roman" w:hAnsi="Times New Roman" w:cs="Times New Roman"/>
          <w:sz w:val="24"/>
          <w:szCs w:val="24"/>
        </w:rPr>
        <w:t xml:space="preserve">Dane wykorzystane </w:t>
      </w:r>
      <w:r w:rsidR="00AE7D63" w:rsidRPr="00920009">
        <w:rPr>
          <w:rFonts w:ascii="Times New Roman" w:hAnsi="Times New Roman" w:cs="Times New Roman"/>
          <w:sz w:val="24"/>
          <w:szCs w:val="24"/>
        </w:rPr>
        <w:t>w pracy dotyczą średniego miesięcznego kursu euro do złotego i pochodzą ze strony Narodowego Banku Polskiego.</w:t>
      </w:r>
      <w:r w:rsidR="0082145D" w:rsidRPr="00920009">
        <w:rPr>
          <w:rFonts w:ascii="Times New Roman" w:hAnsi="Times New Roman" w:cs="Times New Roman"/>
          <w:sz w:val="24"/>
          <w:szCs w:val="24"/>
        </w:rPr>
        <w:t xml:space="preserve"> Kurs został uśredniony przez NBP pod względem ceny zakupu i sprzedaży oraz dni miesiąca.</w:t>
      </w:r>
      <w:r w:rsidR="00AE7D63" w:rsidRPr="00920009">
        <w:rPr>
          <w:rFonts w:ascii="Times New Roman" w:hAnsi="Times New Roman" w:cs="Times New Roman"/>
          <w:sz w:val="24"/>
          <w:szCs w:val="24"/>
        </w:rPr>
        <w:t xml:space="preserve"> Dane zawierają 125 obserwacji od stycznia 2012 roku do maja 2022 roku. </w:t>
      </w:r>
    </w:p>
    <w:p w:rsidR="00D5122C" w:rsidRDefault="006309E1" w:rsidP="00D5122C">
      <w:pPr>
        <w:keepNext/>
        <w:spacing w:line="360" w:lineRule="auto"/>
        <w:jc w:val="center"/>
      </w:pPr>
      <w:bookmarkStart w:id="0" w:name="_GoBack"/>
      <w:r>
        <w:rPr>
          <w:noProof/>
        </w:rPr>
        <w:drawing>
          <wp:inline distT="0" distB="0" distL="0" distR="0" wp14:anchorId="281F90F6" wp14:editId="5E08E5C9">
            <wp:extent cx="4107180" cy="2369820"/>
            <wp:effectExtent l="0" t="0" r="7620" b="11430"/>
            <wp:docPr id="1" name="Wykres 1">
              <a:extLst xmlns:a="http://schemas.openxmlformats.org/drawingml/2006/main">
                <a:ext uri="{FF2B5EF4-FFF2-40B4-BE49-F238E27FC236}">
                  <a16:creationId xmlns:a16="http://schemas.microsoft.com/office/drawing/2014/main" id="{C6F24BE1-1B3A-413F-93A1-56BD0B01F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1749F9" w:rsidRDefault="00D5122C" w:rsidP="00D5122C">
      <w:pPr>
        <w:pStyle w:val="Legenda"/>
        <w:jc w:val="both"/>
      </w:pPr>
      <w:r>
        <w:t xml:space="preserve">Wykres </w:t>
      </w:r>
      <w:r>
        <w:fldChar w:fldCharType="begin"/>
      </w:r>
      <w:r>
        <w:instrText xml:space="preserve"> SEQ Rysunek \* ARABIC </w:instrText>
      </w:r>
      <w:r>
        <w:fldChar w:fldCharType="separate"/>
      </w:r>
      <w:r w:rsidR="00284684">
        <w:rPr>
          <w:noProof/>
        </w:rPr>
        <w:t>1</w:t>
      </w:r>
      <w:r>
        <w:fldChar w:fldCharType="end"/>
      </w:r>
      <w:r>
        <w:t>. Średni miesięczny kurs EUR do PLN</w:t>
      </w:r>
      <w:r w:rsidR="00D40FD8">
        <w:t xml:space="preserve">. Linia przerywana – trend liniowy. </w:t>
      </w:r>
    </w:p>
    <w:p w:rsidR="00D5122C" w:rsidRDefault="00D5122C" w:rsidP="00D5122C">
      <w:pPr>
        <w:spacing w:line="360" w:lineRule="auto"/>
        <w:jc w:val="both"/>
        <w:rPr>
          <w:rFonts w:ascii="Times New Roman" w:hAnsi="Times New Roman" w:cs="Times New Roman"/>
          <w:sz w:val="24"/>
          <w:szCs w:val="24"/>
        </w:rPr>
      </w:pPr>
      <w:r>
        <w:lastRenderedPageBreak/>
        <w:tab/>
      </w:r>
      <w:r w:rsidRPr="00D5122C">
        <w:rPr>
          <w:rFonts w:ascii="Times New Roman" w:hAnsi="Times New Roman" w:cs="Times New Roman"/>
          <w:sz w:val="24"/>
          <w:szCs w:val="24"/>
        </w:rPr>
        <w:t xml:space="preserve">Na podstawie </w:t>
      </w:r>
      <w:r w:rsidR="00996C78">
        <w:rPr>
          <w:rFonts w:ascii="Times New Roman" w:hAnsi="Times New Roman" w:cs="Times New Roman"/>
          <w:sz w:val="24"/>
          <w:szCs w:val="24"/>
        </w:rPr>
        <w:t>W</w:t>
      </w:r>
      <w:r>
        <w:rPr>
          <w:rFonts w:ascii="Times New Roman" w:hAnsi="Times New Roman" w:cs="Times New Roman"/>
          <w:sz w:val="24"/>
          <w:szCs w:val="24"/>
        </w:rPr>
        <w:t>ykresu</w:t>
      </w:r>
      <w:r w:rsidR="00996C78">
        <w:rPr>
          <w:rFonts w:ascii="Times New Roman" w:hAnsi="Times New Roman" w:cs="Times New Roman"/>
          <w:sz w:val="24"/>
          <w:szCs w:val="24"/>
        </w:rPr>
        <w:t xml:space="preserve"> 1.</w:t>
      </w:r>
      <w:r>
        <w:rPr>
          <w:rFonts w:ascii="Times New Roman" w:hAnsi="Times New Roman" w:cs="Times New Roman"/>
          <w:sz w:val="24"/>
          <w:szCs w:val="24"/>
        </w:rPr>
        <w:t xml:space="preserve"> można zauważyć, że kurs nie charakteryzuje się silnym trendem, chociaż na przestrzeni ostatnich 10 lat </w:t>
      </w:r>
      <w:r w:rsidR="00D40FD8">
        <w:rPr>
          <w:rFonts w:ascii="Times New Roman" w:hAnsi="Times New Roman" w:cs="Times New Roman"/>
          <w:sz w:val="24"/>
          <w:szCs w:val="24"/>
        </w:rPr>
        <w:t>kurs był</w:t>
      </w:r>
      <w:r>
        <w:rPr>
          <w:rFonts w:ascii="Times New Roman" w:hAnsi="Times New Roman" w:cs="Times New Roman"/>
          <w:sz w:val="24"/>
          <w:szCs w:val="24"/>
        </w:rPr>
        <w:t xml:space="preserve"> raczej rosnący. </w:t>
      </w:r>
      <w:r w:rsidR="0082145D">
        <w:rPr>
          <w:rFonts w:ascii="Times New Roman" w:hAnsi="Times New Roman" w:cs="Times New Roman"/>
          <w:sz w:val="24"/>
          <w:szCs w:val="24"/>
        </w:rPr>
        <w:t xml:space="preserve">Nie widać również wyraźnej sezonowości. </w:t>
      </w:r>
    </w:p>
    <w:p w:rsidR="00793E46" w:rsidRDefault="0082145D" w:rsidP="00D512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750D">
        <w:rPr>
          <w:rFonts w:ascii="Times New Roman" w:hAnsi="Times New Roman" w:cs="Times New Roman"/>
          <w:sz w:val="24"/>
          <w:szCs w:val="24"/>
        </w:rPr>
        <w:t xml:space="preserve">W celu zbadania stacjonarności wykorzystano test </w:t>
      </w:r>
      <w:proofErr w:type="spellStart"/>
      <w:r w:rsidR="0043750D">
        <w:rPr>
          <w:rFonts w:ascii="Times New Roman" w:hAnsi="Times New Roman" w:cs="Times New Roman"/>
          <w:sz w:val="24"/>
          <w:szCs w:val="24"/>
        </w:rPr>
        <w:t>Dickey</w:t>
      </w:r>
      <w:proofErr w:type="spellEnd"/>
      <w:r w:rsidR="0043750D">
        <w:rPr>
          <w:rFonts w:ascii="Times New Roman" w:hAnsi="Times New Roman" w:cs="Times New Roman"/>
          <w:sz w:val="24"/>
          <w:szCs w:val="24"/>
        </w:rPr>
        <w:t xml:space="preserve">-Fullera. Wykazał on brak podstaw do odrzucenia hipotezy zerowej o niestacjonarności szeregu. </w:t>
      </w:r>
      <w:r w:rsidR="00793E46">
        <w:rPr>
          <w:rFonts w:ascii="Times New Roman" w:hAnsi="Times New Roman" w:cs="Times New Roman"/>
          <w:sz w:val="24"/>
          <w:szCs w:val="24"/>
        </w:rPr>
        <w:t>Dalsza analiza wykazała, że szereg jest zintegrowany na poziomie I(1). Metody prognozowania wykorzystane w tej pracy nie wymagają stacjonarności szeregu</w:t>
      </w:r>
      <w:r w:rsidR="001940CE">
        <w:rPr>
          <w:rFonts w:ascii="Times New Roman" w:hAnsi="Times New Roman" w:cs="Times New Roman"/>
          <w:sz w:val="24"/>
          <w:szCs w:val="24"/>
        </w:rPr>
        <w:t xml:space="preserve"> (bądź automatycznie radzą sobie z niestacjonarnymi szeregami, jak np. funkcja </w:t>
      </w:r>
      <w:proofErr w:type="spellStart"/>
      <w:r w:rsidR="001940CE" w:rsidRPr="001940CE">
        <w:rPr>
          <w:rFonts w:ascii="Times New Roman" w:hAnsi="Times New Roman" w:cs="Times New Roman"/>
          <w:i/>
          <w:sz w:val="24"/>
          <w:szCs w:val="24"/>
        </w:rPr>
        <w:t>auto.arima</w:t>
      </w:r>
      <w:proofErr w:type="spellEnd"/>
      <w:r w:rsidR="001940CE">
        <w:rPr>
          <w:rFonts w:ascii="Times New Roman" w:hAnsi="Times New Roman" w:cs="Times New Roman"/>
          <w:sz w:val="24"/>
          <w:szCs w:val="24"/>
        </w:rPr>
        <w:t xml:space="preserve"> z pakietu </w:t>
      </w:r>
      <w:proofErr w:type="spellStart"/>
      <w:r w:rsidR="001940CE" w:rsidRPr="001940CE">
        <w:rPr>
          <w:rFonts w:ascii="Times New Roman" w:hAnsi="Times New Roman" w:cs="Times New Roman"/>
          <w:i/>
          <w:sz w:val="24"/>
          <w:szCs w:val="24"/>
        </w:rPr>
        <w:t>forecast</w:t>
      </w:r>
      <w:proofErr w:type="spellEnd"/>
      <w:r w:rsidR="001940CE">
        <w:rPr>
          <w:rFonts w:ascii="Times New Roman" w:hAnsi="Times New Roman" w:cs="Times New Roman"/>
          <w:sz w:val="24"/>
          <w:szCs w:val="24"/>
        </w:rPr>
        <w:t xml:space="preserve"> w R)</w:t>
      </w:r>
      <w:r w:rsidR="00793E46">
        <w:rPr>
          <w:rFonts w:ascii="Times New Roman" w:hAnsi="Times New Roman" w:cs="Times New Roman"/>
          <w:sz w:val="24"/>
          <w:szCs w:val="24"/>
        </w:rPr>
        <w:t>, dlatego zdecydowano się zachować szereg w pierwotnej postaci w celu łatwości interpretacji wyników prognozowania.</w:t>
      </w:r>
    </w:p>
    <w:p w:rsidR="00F26A0D" w:rsidRDefault="00F26A0D" w:rsidP="001D3263">
      <w:pPr>
        <w:spacing w:line="360" w:lineRule="auto"/>
        <w:jc w:val="both"/>
        <w:rPr>
          <w:rFonts w:ascii="Times New Roman" w:hAnsi="Times New Roman" w:cs="Times New Roman"/>
          <w:sz w:val="24"/>
          <w:szCs w:val="24"/>
        </w:rPr>
      </w:pPr>
    </w:p>
    <w:p w:rsidR="008058AD" w:rsidRDefault="00920009" w:rsidP="008058AD">
      <w:pPr>
        <w:pStyle w:val="Akapitzlist"/>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Badanie empiryczne</w:t>
      </w:r>
    </w:p>
    <w:p w:rsidR="00920009" w:rsidRDefault="00920009" w:rsidP="00920009">
      <w:pPr>
        <w:spacing w:line="360" w:lineRule="auto"/>
        <w:ind w:firstLine="720"/>
        <w:jc w:val="both"/>
        <w:rPr>
          <w:rFonts w:ascii="Times New Roman" w:hAnsi="Times New Roman" w:cs="Times New Roman"/>
          <w:sz w:val="24"/>
          <w:szCs w:val="24"/>
        </w:rPr>
      </w:pPr>
      <w:r w:rsidRPr="00920009">
        <w:rPr>
          <w:rFonts w:ascii="Times New Roman" w:hAnsi="Times New Roman" w:cs="Times New Roman"/>
          <w:sz w:val="24"/>
          <w:szCs w:val="24"/>
        </w:rPr>
        <w:t>W celu porównania jakości prognoz oszacowanych różnymi metodami, dla każdej metody wygenerowan</w:t>
      </w:r>
      <w:r>
        <w:rPr>
          <w:rFonts w:ascii="Times New Roman" w:hAnsi="Times New Roman" w:cs="Times New Roman"/>
          <w:sz w:val="24"/>
          <w:szCs w:val="24"/>
        </w:rPr>
        <w:t>o</w:t>
      </w:r>
      <w:r w:rsidRPr="00920009">
        <w:rPr>
          <w:rFonts w:ascii="Times New Roman" w:hAnsi="Times New Roman" w:cs="Times New Roman"/>
          <w:sz w:val="24"/>
          <w:szCs w:val="24"/>
        </w:rPr>
        <w:t xml:space="preserve"> prognozy na </w:t>
      </w:r>
      <w:r w:rsidR="008058AD">
        <w:rPr>
          <w:rFonts w:ascii="Times New Roman" w:hAnsi="Times New Roman" w:cs="Times New Roman"/>
          <w:sz w:val="24"/>
          <w:szCs w:val="24"/>
        </w:rPr>
        <w:t>jeden</w:t>
      </w:r>
      <w:r w:rsidRPr="00920009">
        <w:rPr>
          <w:rFonts w:ascii="Times New Roman" w:hAnsi="Times New Roman" w:cs="Times New Roman"/>
          <w:sz w:val="24"/>
          <w:szCs w:val="24"/>
        </w:rPr>
        <w:t xml:space="preserve"> okres do przodu. </w:t>
      </w:r>
      <w:r>
        <w:rPr>
          <w:rFonts w:ascii="Times New Roman" w:hAnsi="Times New Roman" w:cs="Times New Roman"/>
          <w:sz w:val="24"/>
          <w:szCs w:val="24"/>
        </w:rPr>
        <w:t>Następnie wyznaczono b</w:t>
      </w:r>
      <w:r w:rsidRPr="00920009">
        <w:rPr>
          <w:rFonts w:ascii="Times New Roman" w:hAnsi="Times New Roman" w:cs="Times New Roman"/>
          <w:sz w:val="24"/>
          <w:szCs w:val="24"/>
        </w:rPr>
        <w:t>łędy</w:t>
      </w:r>
      <w:r>
        <w:rPr>
          <w:rFonts w:ascii="Times New Roman" w:hAnsi="Times New Roman" w:cs="Times New Roman"/>
          <w:sz w:val="24"/>
          <w:szCs w:val="24"/>
        </w:rPr>
        <w:t xml:space="preserve"> za pomocą</w:t>
      </w:r>
      <w:r w:rsidRPr="00920009">
        <w:rPr>
          <w:rFonts w:ascii="Times New Roman" w:hAnsi="Times New Roman" w:cs="Times New Roman"/>
          <w:sz w:val="24"/>
          <w:szCs w:val="24"/>
        </w:rPr>
        <w:t xml:space="preserve"> </w:t>
      </w:r>
      <w:r>
        <w:rPr>
          <w:rFonts w:ascii="Times New Roman" w:hAnsi="Times New Roman" w:cs="Times New Roman"/>
          <w:sz w:val="24"/>
          <w:szCs w:val="24"/>
        </w:rPr>
        <w:t>pierwiastka średniego kwadratowego błędu (</w:t>
      </w:r>
      <w:r w:rsidRPr="00920009">
        <w:rPr>
          <w:rFonts w:ascii="Times New Roman" w:hAnsi="Times New Roman" w:cs="Times New Roman"/>
          <w:i/>
          <w:sz w:val="24"/>
          <w:szCs w:val="24"/>
        </w:rPr>
        <w:t xml:space="preserve">Root </w:t>
      </w:r>
      <w:proofErr w:type="spellStart"/>
      <w:r w:rsidRPr="00920009">
        <w:rPr>
          <w:rFonts w:ascii="Times New Roman" w:hAnsi="Times New Roman" w:cs="Times New Roman"/>
          <w:i/>
          <w:sz w:val="24"/>
          <w:szCs w:val="24"/>
        </w:rPr>
        <w:t>Mean</w:t>
      </w:r>
      <w:proofErr w:type="spellEnd"/>
      <w:r w:rsidRPr="00920009">
        <w:rPr>
          <w:rFonts w:ascii="Times New Roman" w:hAnsi="Times New Roman" w:cs="Times New Roman"/>
          <w:i/>
          <w:sz w:val="24"/>
          <w:szCs w:val="24"/>
        </w:rPr>
        <w:t xml:space="preserve"> </w:t>
      </w:r>
      <w:proofErr w:type="spellStart"/>
      <w:r w:rsidRPr="00920009">
        <w:rPr>
          <w:rFonts w:ascii="Times New Roman" w:hAnsi="Times New Roman" w:cs="Times New Roman"/>
          <w:i/>
          <w:sz w:val="24"/>
          <w:szCs w:val="24"/>
        </w:rPr>
        <w:t>Square</w:t>
      </w:r>
      <w:proofErr w:type="spellEnd"/>
      <w:r w:rsidRPr="00920009">
        <w:rPr>
          <w:rFonts w:ascii="Times New Roman" w:hAnsi="Times New Roman" w:cs="Times New Roman"/>
          <w:i/>
          <w:sz w:val="24"/>
          <w:szCs w:val="24"/>
        </w:rPr>
        <w:t xml:space="preserve"> Error</w:t>
      </w:r>
      <w:r>
        <w:rPr>
          <w:rFonts w:ascii="Times New Roman" w:hAnsi="Times New Roman" w:cs="Times New Roman"/>
          <w:sz w:val="24"/>
          <w:szCs w:val="24"/>
        </w:rPr>
        <w:t xml:space="preserve"> - </w:t>
      </w:r>
      <w:r w:rsidRPr="00920009">
        <w:rPr>
          <w:rFonts w:ascii="Times New Roman" w:hAnsi="Times New Roman" w:cs="Times New Roman"/>
          <w:sz w:val="24"/>
          <w:szCs w:val="24"/>
        </w:rPr>
        <w:t>RMSE</w:t>
      </w:r>
      <w:r>
        <w:rPr>
          <w:rFonts w:ascii="Times New Roman" w:hAnsi="Times New Roman" w:cs="Times New Roman"/>
          <w:sz w:val="24"/>
          <w:szCs w:val="24"/>
        </w:rPr>
        <w:t>)</w:t>
      </w:r>
      <w:r w:rsidR="00C769DF">
        <w:rPr>
          <w:rFonts w:ascii="Times New Roman" w:hAnsi="Times New Roman" w:cs="Times New Roman"/>
          <w:sz w:val="24"/>
          <w:szCs w:val="24"/>
        </w:rPr>
        <w:t xml:space="preserve">, </w:t>
      </w:r>
      <w:r>
        <w:rPr>
          <w:rFonts w:ascii="Times New Roman" w:hAnsi="Times New Roman" w:cs="Times New Roman"/>
          <w:sz w:val="24"/>
          <w:szCs w:val="24"/>
        </w:rPr>
        <w:t>średniego błędu absolutnego (</w:t>
      </w:r>
      <w:proofErr w:type="spellStart"/>
      <w:r w:rsidRPr="00920009">
        <w:rPr>
          <w:rFonts w:ascii="Times New Roman" w:hAnsi="Times New Roman" w:cs="Times New Roman"/>
          <w:i/>
          <w:sz w:val="24"/>
          <w:szCs w:val="24"/>
        </w:rPr>
        <w:t>Mean</w:t>
      </w:r>
      <w:proofErr w:type="spellEnd"/>
      <w:r w:rsidRPr="00920009">
        <w:rPr>
          <w:rFonts w:ascii="Times New Roman" w:hAnsi="Times New Roman" w:cs="Times New Roman"/>
          <w:i/>
          <w:sz w:val="24"/>
          <w:szCs w:val="24"/>
        </w:rPr>
        <w:t xml:space="preserve"> </w:t>
      </w:r>
      <w:proofErr w:type="spellStart"/>
      <w:r w:rsidRPr="00920009">
        <w:rPr>
          <w:rFonts w:ascii="Times New Roman" w:hAnsi="Times New Roman" w:cs="Times New Roman"/>
          <w:i/>
          <w:sz w:val="24"/>
          <w:szCs w:val="24"/>
        </w:rPr>
        <w:t>Absolute</w:t>
      </w:r>
      <w:proofErr w:type="spellEnd"/>
      <w:r w:rsidRPr="00920009">
        <w:rPr>
          <w:rFonts w:ascii="Times New Roman" w:hAnsi="Times New Roman" w:cs="Times New Roman"/>
          <w:i/>
          <w:sz w:val="24"/>
          <w:szCs w:val="24"/>
        </w:rPr>
        <w:t xml:space="preserve"> Error</w:t>
      </w:r>
      <w:r>
        <w:rPr>
          <w:rFonts w:ascii="Times New Roman" w:hAnsi="Times New Roman" w:cs="Times New Roman"/>
          <w:sz w:val="24"/>
          <w:szCs w:val="24"/>
        </w:rPr>
        <w:t xml:space="preserve"> - </w:t>
      </w:r>
      <w:r w:rsidRPr="00920009">
        <w:rPr>
          <w:rFonts w:ascii="Times New Roman" w:hAnsi="Times New Roman" w:cs="Times New Roman"/>
          <w:sz w:val="24"/>
          <w:szCs w:val="24"/>
        </w:rPr>
        <w:t>MAE</w:t>
      </w:r>
      <w:r>
        <w:rPr>
          <w:rFonts w:ascii="Times New Roman" w:hAnsi="Times New Roman" w:cs="Times New Roman"/>
          <w:sz w:val="24"/>
          <w:szCs w:val="24"/>
        </w:rPr>
        <w:t>)</w:t>
      </w:r>
      <w:r w:rsidR="008058AD">
        <w:rPr>
          <w:rFonts w:ascii="Times New Roman" w:hAnsi="Times New Roman" w:cs="Times New Roman"/>
          <w:sz w:val="24"/>
          <w:szCs w:val="24"/>
        </w:rPr>
        <w:t xml:space="preserve"> </w:t>
      </w:r>
      <w:r w:rsidR="00C769DF">
        <w:rPr>
          <w:rFonts w:ascii="Times New Roman" w:hAnsi="Times New Roman" w:cs="Times New Roman"/>
          <w:sz w:val="24"/>
          <w:szCs w:val="24"/>
        </w:rPr>
        <w:t>i</w:t>
      </w:r>
      <w:r w:rsidR="008058AD">
        <w:rPr>
          <w:rFonts w:ascii="Times New Roman" w:hAnsi="Times New Roman" w:cs="Times New Roman"/>
          <w:sz w:val="24"/>
          <w:szCs w:val="24"/>
        </w:rPr>
        <w:t xml:space="preserve"> </w:t>
      </w:r>
      <w:r w:rsidR="00C769DF">
        <w:rPr>
          <w:rFonts w:ascii="Times New Roman" w:hAnsi="Times New Roman" w:cs="Times New Roman"/>
          <w:sz w:val="24"/>
          <w:szCs w:val="24"/>
        </w:rPr>
        <w:t>średniego absolutnego błędu procentowego (</w:t>
      </w:r>
      <w:proofErr w:type="spellStart"/>
      <w:r w:rsidR="00C769DF" w:rsidRPr="00C769DF">
        <w:rPr>
          <w:rFonts w:ascii="Times New Roman" w:hAnsi="Times New Roman" w:cs="Times New Roman"/>
          <w:i/>
          <w:sz w:val="24"/>
          <w:szCs w:val="24"/>
        </w:rPr>
        <w:t>Mean</w:t>
      </w:r>
      <w:proofErr w:type="spellEnd"/>
      <w:r w:rsidR="00C769DF" w:rsidRPr="00C769DF">
        <w:rPr>
          <w:rFonts w:ascii="Times New Roman" w:hAnsi="Times New Roman" w:cs="Times New Roman"/>
          <w:i/>
          <w:sz w:val="24"/>
          <w:szCs w:val="24"/>
        </w:rPr>
        <w:t xml:space="preserve"> </w:t>
      </w:r>
      <w:proofErr w:type="spellStart"/>
      <w:r w:rsidR="00C769DF" w:rsidRPr="00C769DF">
        <w:rPr>
          <w:rFonts w:ascii="Times New Roman" w:hAnsi="Times New Roman" w:cs="Times New Roman"/>
          <w:i/>
          <w:sz w:val="24"/>
          <w:szCs w:val="24"/>
        </w:rPr>
        <w:t>Absolute</w:t>
      </w:r>
      <w:proofErr w:type="spellEnd"/>
      <w:r w:rsidR="00C769DF" w:rsidRPr="00C769DF">
        <w:rPr>
          <w:rFonts w:ascii="Times New Roman" w:hAnsi="Times New Roman" w:cs="Times New Roman"/>
          <w:i/>
          <w:sz w:val="24"/>
          <w:szCs w:val="24"/>
        </w:rPr>
        <w:t xml:space="preserve"> </w:t>
      </w:r>
      <w:proofErr w:type="spellStart"/>
      <w:r w:rsidR="00C769DF" w:rsidRPr="00C769DF">
        <w:rPr>
          <w:rFonts w:ascii="Times New Roman" w:hAnsi="Times New Roman" w:cs="Times New Roman"/>
          <w:i/>
          <w:sz w:val="24"/>
          <w:szCs w:val="24"/>
        </w:rPr>
        <w:t>Percentage</w:t>
      </w:r>
      <w:proofErr w:type="spellEnd"/>
      <w:r w:rsidR="00C769DF" w:rsidRPr="00C769DF">
        <w:rPr>
          <w:rFonts w:ascii="Times New Roman" w:hAnsi="Times New Roman" w:cs="Times New Roman"/>
          <w:i/>
          <w:sz w:val="24"/>
          <w:szCs w:val="24"/>
        </w:rPr>
        <w:t xml:space="preserve"> Error</w:t>
      </w:r>
      <w:r w:rsidR="00C769DF">
        <w:rPr>
          <w:rFonts w:ascii="Times New Roman" w:hAnsi="Times New Roman" w:cs="Times New Roman"/>
          <w:sz w:val="24"/>
          <w:szCs w:val="24"/>
        </w:rPr>
        <w:t xml:space="preserve"> – </w:t>
      </w:r>
      <w:r w:rsidR="008058AD">
        <w:rPr>
          <w:rFonts w:ascii="Times New Roman" w:hAnsi="Times New Roman" w:cs="Times New Roman"/>
          <w:sz w:val="24"/>
          <w:szCs w:val="24"/>
        </w:rPr>
        <w:t>MAPE</w:t>
      </w:r>
      <w:r w:rsidR="00C769DF">
        <w:rPr>
          <w:rFonts w:ascii="Times New Roman" w:hAnsi="Times New Roman" w:cs="Times New Roman"/>
          <w:sz w:val="24"/>
          <w:szCs w:val="24"/>
        </w:rPr>
        <w:t>)</w:t>
      </w:r>
      <w:r>
        <w:rPr>
          <w:rFonts w:ascii="Times New Roman" w:hAnsi="Times New Roman" w:cs="Times New Roman"/>
          <w:sz w:val="24"/>
          <w:szCs w:val="24"/>
        </w:rPr>
        <w:t xml:space="preserve"> na </w:t>
      </w:r>
      <w:r w:rsidR="007F0A58">
        <w:rPr>
          <w:rFonts w:ascii="Times New Roman" w:hAnsi="Times New Roman" w:cs="Times New Roman"/>
          <w:sz w:val="24"/>
          <w:szCs w:val="24"/>
        </w:rPr>
        <w:t xml:space="preserve">podstawie prognoz dla </w:t>
      </w:r>
      <w:r w:rsidRPr="00920009">
        <w:rPr>
          <w:rFonts w:ascii="Times New Roman" w:hAnsi="Times New Roman" w:cs="Times New Roman"/>
          <w:sz w:val="24"/>
          <w:szCs w:val="24"/>
        </w:rPr>
        <w:t>ostatnich 2 lat tj. od czerwca 2020 do maja 2022 roku</w:t>
      </w:r>
      <w:r w:rsidR="006E7488">
        <w:rPr>
          <w:rStyle w:val="Odwoanieprzypisudolnego"/>
          <w:rFonts w:ascii="Times New Roman" w:hAnsi="Times New Roman" w:cs="Times New Roman"/>
          <w:sz w:val="24"/>
          <w:szCs w:val="24"/>
        </w:rPr>
        <w:footnoteReference w:id="1"/>
      </w:r>
      <w:r w:rsidRPr="00920009">
        <w:rPr>
          <w:rFonts w:ascii="Times New Roman" w:hAnsi="Times New Roman" w:cs="Times New Roman"/>
          <w:sz w:val="24"/>
          <w:szCs w:val="24"/>
        </w:rPr>
        <w:t xml:space="preserve">. </w:t>
      </w:r>
    </w:p>
    <w:p w:rsidR="002E5299" w:rsidRPr="00920009" w:rsidRDefault="002E5299" w:rsidP="006E7488">
      <w:pPr>
        <w:spacing w:line="360" w:lineRule="auto"/>
        <w:jc w:val="both"/>
        <w:rPr>
          <w:rFonts w:ascii="Times New Roman" w:hAnsi="Times New Roman" w:cs="Times New Roman"/>
          <w:sz w:val="24"/>
          <w:szCs w:val="24"/>
        </w:rPr>
      </w:pPr>
    </w:p>
    <w:p w:rsidR="00920009" w:rsidRPr="00920009" w:rsidRDefault="00920009" w:rsidP="00920009">
      <w:pPr>
        <w:pStyle w:val="Akapitzlist"/>
        <w:numPr>
          <w:ilvl w:val="1"/>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Metoda naiwna</w:t>
      </w:r>
    </w:p>
    <w:p w:rsidR="00470775" w:rsidRDefault="00F20EF7" w:rsidP="003F096B">
      <w:pPr>
        <w:spacing w:line="360" w:lineRule="auto"/>
        <w:ind w:firstLine="720"/>
        <w:jc w:val="both"/>
        <w:rPr>
          <w:rFonts w:ascii="Times New Roman" w:hAnsi="Times New Roman" w:cs="Times New Roman"/>
          <w:sz w:val="24"/>
          <w:szCs w:val="24"/>
        </w:rPr>
      </w:pPr>
      <w:r w:rsidRPr="00F20EF7">
        <w:rPr>
          <w:rFonts w:ascii="Times New Roman" w:hAnsi="Times New Roman" w:cs="Times New Roman"/>
          <w:sz w:val="24"/>
          <w:szCs w:val="24"/>
        </w:rPr>
        <w:t xml:space="preserve">W pierwszej kolejności przeprowadzono prognozowanie z wykorzystaniem </w:t>
      </w:r>
      <w:r w:rsidR="00470775">
        <w:rPr>
          <w:rFonts w:ascii="Times New Roman" w:hAnsi="Times New Roman" w:cs="Times New Roman"/>
          <w:sz w:val="24"/>
          <w:szCs w:val="24"/>
        </w:rPr>
        <w:t xml:space="preserve">czystej </w:t>
      </w:r>
      <w:r w:rsidR="00E01936">
        <w:rPr>
          <w:rFonts w:ascii="Times New Roman" w:hAnsi="Times New Roman" w:cs="Times New Roman"/>
          <w:sz w:val="24"/>
          <w:szCs w:val="24"/>
        </w:rPr>
        <w:t>metody naiwnej. Polega on</w:t>
      </w:r>
      <w:r w:rsidR="00470775">
        <w:rPr>
          <w:rFonts w:ascii="Times New Roman" w:hAnsi="Times New Roman" w:cs="Times New Roman"/>
          <w:sz w:val="24"/>
          <w:szCs w:val="24"/>
        </w:rPr>
        <w:t>a na przyrównaniu wartości prognozy do ostatniej obserwacji.</w:t>
      </w:r>
    </w:p>
    <w:p w:rsidR="004D543F" w:rsidRDefault="0098666F" w:rsidP="004D543F">
      <w:pPr>
        <w:spacing w:line="360" w:lineRule="auto"/>
        <w:ind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t+1</m:t>
            </m:r>
          </m:sub>
          <m:sup>
            <m:r>
              <w:rPr>
                <w:rFonts w:ascii="Cambria Math" w:hAnsi="Cambria Math" w:cs="Times New Roman"/>
                <w:sz w:val="24"/>
                <w:szCs w:val="24"/>
              </w:rPr>
              <m:t>p</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470775">
        <w:rPr>
          <w:rFonts w:ascii="Times New Roman" w:hAnsi="Times New Roman" w:cs="Times New Roman"/>
          <w:sz w:val="24"/>
          <w:szCs w:val="24"/>
        </w:rPr>
        <w:t xml:space="preserve"> </w:t>
      </w:r>
    </w:p>
    <w:p w:rsidR="004D543F" w:rsidRDefault="0004168D" w:rsidP="004D543F">
      <w:pPr>
        <w:keepNext/>
        <w:spacing w:line="360" w:lineRule="auto"/>
        <w:jc w:val="center"/>
      </w:pPr>
      <w:r>
        <w:rPr>
          <w:noProof/>
        </w:rPr>
        <w:lastRenderedPageBreak/>
        <w:drawing>
          <wp:inline distT="0" distB="0" distL="0" distR="0">
            <wp:extent cx="3889375" cy="284180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799" cy="2874995"/>
                    </a:xfrm>
                    <a:prstGeom prst="rect">
                      <a:avLst/>
                    </a:prstGeom>
                    <a:noFill/>
                    <a:ln>
                      <a:noFill/>
                    </a:ln>
                  </pic:spPr>
                </pic:pic>
              </a:graphicData>
            </a:graphic>
          </wp:inline>
        </w:drawing>
      </w:r>
    </w:p>
    <w:p w:rsidR="001D3263" w:rsidRDefault="004D543F" w:rsidP="007F0A58">
      <w:pPr>
        <w:pStyle w:val="Legenda"/>
        <w:jc w:val="both"/>
      </w:pPr>
      <w:r>
        <w:t xml:space="preserve">Wykres </w:t>
      </w:r>
      <w:r>
        <w:fldChar w:fldCharType="begin"/>
      </w:r>
      <w:r>
        <w:instrText xml:space="preserve"> SEQ Rysunek \* ARABIC </w:instrText>
      </w:r>
      <w:r>
        <w:fldChar w:fldCharType="separate"/>
      </w:r>
      <w:r w:rsidR="00284684">
        <w:rPr>
          <w:noProof/>
        </w:rPr>
        <w:t>2</w:t>
      </w:r>
      <w:r>
        <w:fldChar w:fldCharType="end"/>
      </w:r>
      <w:r>
        <w:t xml:space="preserve">. </w:t>
      </w:r>
      <w:r w:rsidR="00CC4F78">
        <w:t>Wartości dopasowane</w:t>
      </w:r>
      <w:r w:rsidR="0004168D">
        <w:t xml:space="preserve"> wyznaczone metodą naiwną. </w:t>
      </w:r>
      <w:r w:rsidR="007F0A58">
        <w:t xml:space="preserve">Linia czarna – pierwotny szereg, linia czerwona – </w:t>
      </w:r>
      <w:r w:rsidR="00C4763E">
        <w:t>wartości dopasowane</w:t>
      </w:r>
      <w:r w:rsidR="007F0A58">
        <w:t xml:space="preserve">. </w:t>
      </w:r>
    </w:p>
    <w:p w:rsidR="007F0A58" w:rsidRPr="00E73F74" w:rsidRDefault="004D543F" w:rsidP="007F0A5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C78">
        <w:rPr>
          <w:rFonts w:ascii="Times New Roman" w:hAnsi="Times New Roman" w:cs="Times New Roman"/>
          <w:sz w:val="24"/>
          <w:szCs w:val="24"/>
        </w:rPr>
        <w:t>Na Wykresie 2. w</w:t>
      </w:r>
      <w:r>
        <w:rPr>
          <w:rFonts w:ascii="Times New Roman" w:hAnsi="Times New Roman" w:cs="Times New Roman"/>
          <w:sz w:val="24"/>
          <w:szCs w:val="24"/>
        </w:rPr>
        <w:t xml:space="preserve">idzimy, że </w:t>
      </w:r>
      <w:r w:rsidR="00996C78">
        <w:rPr>
          <w:rFonts w:ascii="Times New Roman" w:hAnsi="Times New Roman" w:cs="Times New Roman"/>
          <w:sz w:val="24"/>
          <w:szCs w:val="24"/>
        </w:rPr>
        <w:t xml:space="preserve">metoda </w:t>
      </w:r>
      <w:r>
        <w:rPr>
          <w:rFonts w:ascii="Times New Roman" w:hAnsi="Times New Roman" w:cs="Times New Roman"/>
          <w:sz w:val="24"/>
          <w:szCs w:val="24"/>
        </w:rPr>
        <w:t xml:space="preserve">naiwna jest </w:t>
      </w:r>
      <w:r w:rsidR="00996C78">
        <w:rPr>
          <w:rFonts w:ascii="Times New Roman" w:hAnsi="Times New Roman" w:cs="Times New Roman"/>
          <w:sz w:val="24"/>
          <w:szCs w:val="24"/>
        </w:rPr>
        <w:t xml:space="preserve">zwykłym </w:t>
      </w:r>
      <w:r>
        <w:rPr>
          <w:rFonts w:ascii="Times New Roman" w:hAnsi="Times New Roman" w:cs="Times New Roman"/>
          <w:sz w:val="24"/>
          <w:szCs w:val="24"/>
        </w:rPr>
        <w:t>„przesunięciem” wykresu w prawą stronę</w:t>
      </w:r>
      <w:r w:rsidR="00996C78">
        <w:rPr>
          <w:rFonts w:ascii="Times New Roman" w:hAnsi="Times New Roman" w:cs="Times New Roman"/>
          <w:sz w:val="24"/>
          <w:szCs w:val="24"/>
        </w:rPr>
        <w:t xml:space="preserve">. Dosyć dobrze pokrywa się jednak z rzeczywistymi wartościami. </w:t>
      </w:r>
      <w:r>
        <w:rPr>
          <w:rFonts w:ascii="Times New Roman" w:hAnsi="Times New Roman" w:cs="Times New Roman"/>
          <w:sz w:val="24"/>
          <w:szCs w:val="24"/>
        </w:rPr>
        <w:t xml:space="preserve">Uzyskane za jej pomocą </w:t>
      </w:r>
      <w:r w:rsidRPr="00E73F74">
        <w:rPr>
          <w:rFonts w:ascii="Times New Roman" w:hAnsi="Times New Roman" w:cs="Times New Roman"/>
          <w:sz w:val="24"/>
          <w:szCs w:val="24"/>
        </w:rPr>
        <w:t>błędy RMSE</w:t>
      </w:r>
      <w:r w:rsidR="008058AD" w:rsidRPr="00E73F74">
        <w:rPr>
          <w:rFonts w:ascii="Times New Roman" w:hAnsi="Times New Roman" w:cs="Times New Roman"/>
          <w:sz w:val="24"/>
          <w:szCs w:val="24"/>
        </w:rPr>
        <w:t xml:space="preserve">, MAE i MAPE </w:t>
      </w:r>
      <w:r w:rsidRPr="00E73F74">
        <w:rPr>
          <w:rFonts w:ascii="Times New Roman" w:hAnsi="Times New Roman" w:cs="Times New Roman"/>
          <w:sz w:val="24"/>
          <w:szCs w:val="24"/>
        </w:rPr>
        <w:t xml:space="preserve">wynoszą odpowiednio </w:t>
      </w:r>
      <w:r w:rsidR="00E73F74" w:rsidRPr="00E73F74">
        <w:rPr>
          <w:rFonts w:ascii="Times New Roman" w:hAnsi="Times New Roman" w:cs="Times New Roman"/>
          <w:sz w:val="24"/>
          <w:szCs w:val="24"/>
        </w:rPr>
        <w:t>0.06770463, 0.05150833 i 0.011247613.</w:t>
      </w:r>
    </w:p>
    <w:p w:rsidR="00CC4F78" w:rsidRPr="004D543F" w:rsidRDefault="00CC4F78" w:rsidP="007F0A58">
      <w:pPr>
        <w:spacing w:line="360" w:lineRule="auto"/>
        <w:jc w:val="both"/>
        <w:rPr>
          <w:rFonts w:ascii="Times New Roman" w:hAnsi="Times New Roman" w:cs="Times New Roman"/>
          <w:sz w:val="24"/>
          <w:szCs w:val="24"/>
        </w:rPr>
      </w:pPr>
    </w:p>
    <w:p w:rsidR="001D3263" w:rsidRPr="007F0A58" w:rsidRDefault="007F0A58" w:rsidP="007F0A58">
      <w:pPr>
        <w:pStyle w:val="Akapitzlist"/>
        <w:numPr>
          <w:ilvl w:val="1"/>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7F0A58">
        <w:rPr>
          <w:rFonts w:ascii="Times New Roman" w:hAnsi="Times New Roman" w:cs="Times New Roman"/>
          <w:b/>
          <w:sz w:val="24"/>
          <w:szCs w:val="24"/>
        </w:rPr>
        <w:t>Metoda średnich ruchomych</w:t>
      </w:r>
    </w:p>
    <w:p w:rsidR="005679BD" w:rsidRDefault="007F0A58" w:rsidP="005679BD">
      <w:pPr>
        <w:spacing w:line="360" w:lineRule="auto"/>
        <w:ind w:firstLine="720"/>
        <w:jc w:val="both"/>
        <w:rPr>
          <w:rFonts w:ascii="Times New Roman" w:hAnsi="Times New Roman" w:cs="Times New Roman"/>
          <w:sz w:val="24"/>
          <w:szCs w:val="24"/>
        </w:rPr>
      </w:pPr>
      <w:r w:rsidRPr="007F0A58">
        <w:rPr>
          <w:rFonts w:ascii="Times New Roman" w:hAnsi="Times New Roman" w:cs="Times New Roman"/>
          <w:sz w:val="24"/>
          <w:szCs w:val="24"/>
        </w:rPr>
        <w:t xml:space="preserve">Metoda średnich ruchomych </w:t>
      </w:r>
      <w:r>
        <w:rPr>
          <w:rFonts w:ascii="Times New Roman" w:hAnsi="Times New Roman" w:cs="Times New Roman"/>
          <w:sz w:val="24"/>
          <w:szCs w:val="24"/>
        </w:rPr>
        <w:t>umożliwia zniwelowanie wpływu losowości na prognozę w porównaniu do prognozy naiwnej. Metoda średnich ruchomych polega na oparciu prognozy o średnią arytmetyczną k ostatnich obserwacji.</w:t>
      </w:r>
    </w:p>
    <w:p w:rsidR="007F0A58" w:rsidRDefault="0098666F" w:rsidP="005679BD">
      <w:pPr>
        <w:spacing w:line="360" w:lineRule="auto"/>
        <w:ind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t+1</m:t>
            </m:r>
          </m:sub>
          <m:sup>
            <m:r>
              <w:rPr>
                <w:rFonts w:ascii="Cambria Math" w:hAnsi="Cambria Math" w:cs="Times New Roman"/>
                <w:sz w:val="24"/>
                <w:szCs w:val="24"/>
              </w:rPr>
              <m:t>p</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e>
        </m:nary>
      </m:oMath>
      <w:r w:rsidR="007F0A58">
        <w:rPr>
          <w:rFonts w:ascii="Times New Roman" w:hAnsi="Times New Roman" w:cs="Times New Roman"/>
          <w:sz w:val="24"/>
          <w:szCs w:val="24"/>
        </w:rPr>
        <w:t xml:space="preserve"> </w:t>
      </w:r>
    </w:p>
    <w:p w:rsidR="007F0A58" w:rsidRDefault="007F0A58" w:rsidP="007F0A5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Kwestią do rozstrzygnięcia pozostaje dobór wartości k – okna średniej ruchomej. W tym celu sprawdzono </w:t>
      </w:r>
      <w:r w:rsidR="00F27C95">
        <w:rPr>
          <w:rFonts w:ascii="Times New Roman" w:hAnsi="Times New Roman" w:cs="Times New Roman"/>
          <w:sz w:val="24"/>
          <w:szCs w:val="24"/>
        </w:rPr>
        <w:t>wartości od 1 do 100 i policzono błędy RMSE i MA</w:t>
      </w:r>
      <w:r w:rsidR="0098666F">
        <w:rPr>
          <w:rFonts w:ascii="Times New Roman" w:hAnsi="Times New Roman" w:cs="Times New Roman"/>
          <w:sz w:val="24"/>
          <w:szCs w:val="24"/>
        </w:rPr>
        <w:t xml:space="preserve">E dla okresu ostatnich 2 lat. </w:t>
      </w:r>
    </w:p>
    <w:p w:rsidR="00F27C95" w:rsidRDefault="00F27C95" w:rsidP="005043FE">
      <w:pPr>
        <w:keepNext/>
        <w:spacing w:line="360" w:lineRule="auto"/>
        <w:jc w:val="center"/>
      </w:pPr>
      <w:r>
        <w:rPr>
          <w:rFonts w:ascii="Times New Roman" w:hAnsi="Times New Roman" w:cs="Times New Roman"/>
          <w:noProof/>
          <w:sz w:val="24"/>
          <w:szCs w:val="24"/>
        </w:rPr>
        <w:lastRenderedPageBreak/>
        <w:drawing>
          <wp:inline distT="0" distB="0" distL="0" distR="0">
            <wp:extent cx="4416136" cy="1943100"/>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048" cy="1965501"/>
                    </a:xfrm>
                    <a:prstGeom prst="rect">
                      <a:avLst/>
                    </a:prstGeom>
                    <a:noFill/>
                    <a:ln>
                      <a:noFill/>
                    </a:ln>
                  </pic:spPr>
                </pic:pic>
              </a:graphicData>
            </a:graphic>
          </wp:inline>
        </w:drawing>
      </w:r>
    </w:p>
    <w:p w:rsidR="00F27C95" w:rsidRDefault="00F27C95" w:rsidP="00F27C95">
      <w:pPr>
        <w:pStyle w:val="Legenda"/>
        <w:jc w:val="both"/>
      </w:pPr>
      <w:r>
        <w:t xml:space="preserve">Wykresy </w:t>
      </w:r>
      <w:r>
        <w:fldChar w:fldCharType="begin"/>
      </w:r>
      <w:r>
        <w:instrText xml:space="preserve"> SEQ Rysunek \* ARABIC </w:instrText>
      </w:r>
      <w:r>
        <w:fldChar w:fldCharType="separate"/>
      </w:r>
      <w:r w:rsidR="00284684">
        <w:rPr>
          <w:noProof/>
        </w:rPr>
        <w:t>3</w:t>
      </w:r>
      <w:r>
        <w:fldChar w:fldCharType="end"/>
      </w:r>
      <w:r>
        <w:t>. Błędy RMSE i MAE dla prognozy średniej ruchomej w zależności od okna prognozy k.</w:t>
      </w:r>
    </w:p>
    <w:p w:rsidR="00F27C95" w:rsidRDefault="00F27C95" w:rsidP="00F27C95">
      <w:pPr>
        <w:spacing w:line="360" w:lineRule="auto"/>
        <w:jc w:val="both"/>
        <w:rPr>
          <w:rFonts w:ascii="Times New Roman" w:hAnsi="Times New Roman" w:cs="Times New Roman"/>
          <w:sz w:val="24"/>
          <w:szCs w:val="24"/>
        </w:rPr>
      </w:pPr>
      <w:r>
        <w:tab/>
      </w:r>
      <w:r w:rsidRPr="00F27C95">
        <w:rPr>
          <w:rFonts w:ascii="Times New Roman" w:hAnsi="Times New Roman" w:cs="Times New Roman"/>
          <w:sz w:val="24"/>
          <w:szCs w:val="24"/>
        </w:rPr>
        <w:t xml:space="preserve">Na Wykresach 3. obserwujemy, że zarówno w przypadku RMSE jak i MAE błąd prognozy najpierw </w:t>
      </w:r>
      <w:r>
        <w:rPr>
          <w:rFonts w:ascii="Times New Roman" w:hAnsi="Times New Roman" w:cs="Times New Roman"/>
          <w:sz w:val="24"/>
          <w:szCs w:val="24"/>
        </w:rPr>
        <w:t>nieznacznie</w:t>
      </w:r>
      <w:r w:rsidRPr="00F27C95">
        <w:rPr>
          <w:rFonts w:ascii="Times New Roman" w:hAnsi="Times New Roman" w:cs="Times New Roman"/>
          <w:sz w:val="24"/>
          <w:szCs w:val="24"/>
        </w:rPr>
        <w:t xml:space="preserve"> maleje, a później rośnie wraz ze wzrostem </w:t>
      </w:r>
      <w:r w:rsidR="00562747">
        <w:rPr>
          <w:rFonts w:ascii="Times New Roman" w:hAnsi="Times New Roman" w:cs="Times New Roman"/>
          <w:sz w:val="24"/>
          <w:szCs w:val="24"/>
        </w:rPr>
        <w:t>okna średniej ruchomej</w:t>
      </w:r>
      <w:r w:rsidRPr="00F27C95">
        <w:rPr>
          <w:rFonts w:ascii="Times New Roman" w:hAnsi="Times New Roman" w:cs="Times New Roman"/>
          <w:sz w:val="24"/>
          <w:szCs w:val="24"/>
        </w:rPr>
        <w:t xml:space="preserve">. </w:t>
      </w:r>
      <w:r>
        <w:rPr>
          <w:rFonts w:ascii="Times New Roman" w:hAnsi="Times New Roman" w:cs="Times New Roman"/>
          <w:sz w:val="24"/>
          <w:szCs w:val="24"/>
        </w:rPr>
        <w:t xml:space="preserve">Dla RMSE najmniejszy błąd równy </w:t>
      </w:r>
      <w:r w:rsidRPr="00F27C95">
        <w:rPr>
          <w:rFonts w:ascii="Times New Roman" w:hAnsi="Times New Roman" w:cs="Times New Roman"/>
          <w:sz w:val="24"/>
          <w:szCs w:val="24"/>
        </w:rPr>
        <w:t>0.0564676</w:t>
      </w:r>
      <w:r>
        <w:rPr>
          <w:rFonts w:ascii="Times New Roman" w:hAnsi="Times New Roman" w:cs="Times New Roman"/>
          <w:sz w:val="24"/>
          <w:szCs w:val="24"/>
        </w:rPr>
        <w:t xml:space="preserve"> uzyskano dla k = 6, a dla MAE </w:t>
      </w:r>
      <w:r w:rsidRPr="00F27C95">
        <w:rPr>
          <w:rFonts w:ascii="Times New Roman" w:hAnsi="Times New Roman" w:cs="Times New Roman"/>
          <w:sz w:val="24"/>
          <w:szCs w:val="24"/>
        </w:rPr>
        <w:t>0.04282917</w:t>
      </w:r>
      <w:r>
        <w:rPr>
          <w:rFonts w:ascii="Times New Roman" w:hAnsi="Times New Roman" w:cs="Times New Roman"/>
          <w:sz w:val="24"/>
          <w:szCs w:val="24"/>
        </w:rPr>
        <w:t xml:space="preserve"> dla k = 5. </w:t>
      </w:r>
      <w:r w:rsidR="00562747">
        <w:rPr>
          <w:rFonts w:ascii="Times New Roman" w:hAnsi="Times New Roman" w:cs="Times New Roman"/>
          <w:sz w:val="24"/>
          <w:szCs w:val="24"/>
        </w:rPr>
        <w:t>Jako</w:t>
      </w:r>
      <w:r w:rsidR="00996C78">
        <w:rPr>
          <w:rFonts w:ascii="Times New Roman" w:hAnsi="Times New Roman" w:cs="Times New Roman"/>
          <w:sz w:val="24"/>
          <w:szCs w:val="24"/>
        </w:rPr>
        <w:t xml:space="preserve"> </w:t>
      </w:r>
      <w:r w:rsidR="00562747">
        <w:rPr>
          <w:rFonts w:ascii="Times New Roman" w:hAnsi="Times New Roman" w:cs="Times New Roman"/>
          <w:sz w:val="24"/>
          <w:szCs w:val="24"/>
        </w:rPr>
        <w:t xml:space="preserve">że mamy do czynienia z danymi miesięcznymi, ostatecznie spośród modeli średniej ruchomej zdecydowano się wybrać okno o wielkości 6 okresów. </w:t>
      </w:r>
    </w:p>
    <w:p w:rsidR="00562747" w:rsidRDefault="00CC4F78" w:rsidP="00562747">
      <w:pPr>
        <w:keepNext/>
        <w:spacing w:line="360" w:lineRule="auto"/>
        <w:jc w:val="center"/>
      </w:pPr>
      <w:r>
        <w:rPr>
          <w:noProof/>
        </w:rPr>
        <w:drawing>
          <wp:inline distT="0" distB="0" distL="0" distR="0">
            <wp:extent cx="4046220" cy="293481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6615" cy="3014887"/>
                    </a:xfrm>
                    <a:prstGeom prst="rect">
                      <a:avLst/>
                    </a:prstGeom>
                    <a:noFill/>
                    <a:ln>
                      <a:noFill/>
                    </a:ln>
                  </pic:spPr>
                </pic:pic>
              </a:graphicData>
            </a:graphic>
          </wp:inline>
        </w:drawing>
      </w:r>
    </w:p>
    <w:p w:rsidR="00E7013B" w:rsidRDefault="00562747" w:rsidP="00562747">
      <w:pPr>
        <w:pStyle w:val="Legenda"/>
        <w:rPr>
          <w:noProof/>
        </w:rPr>
      </w:pPr>
      <w:r>
        <w:t xml:space="preserve">Wykres </w:t>
      </w:r>
      <w:r>
        <w:fldChar w:fldCharType="begin"/>
      </w:r>
      <w:r>
        <w:instrText xml:space="preserve"> SEQ Rysunek \* ARABIC </w:instrText>
      </w:r>
      <w:r>
        <w:fldChar w:fldCharType="separate"/>
      </w:r>
      <w:r w:rsidR="00284684">
        <w:rPr>
          <w:noProof/>
        </w:rPr>
        <w:t>4</w:t>
      </w:r>
      <w:r>
        <w:fldChar w:fldCharType="end"/>
      </w:r>
      <w:r>
        <w:t>.</w:t>
      </w:r>
      <w:r w:rsidRPr="0086214B">
        <w:rPr>
          <w:noProof/>
        </w:rPr>
        <w:t xml:space="preserve"> </w:t>
      </w:r>
      <w:r w:rsidR="00CC4F78">
        <w:t>Wartości dopasowane wyznaczone metodą średniej ruchomej.</w:t>
      </w:r>
      <w:r w:rsidRPr="0086214B">
        <w:rPr>
          <w:noProof/>
        </w:rPr>
        <w:t xml:space="preserve"> Linia czarna – pierwotny szereg, linia czerwona – </w:t>
      </w:r>
      <w:r w:rsidR="00C4763E">
        <w:rPr>
          <w:noProof/>
        </w:rPr>
        <w:t>wartości dopa</w:t>
      </w:r>
      <w:r w:rsidR="00CC4F78">
        <w:rPr>
          <w:noProof/>
        </w:rPr>
        <w:t>sowane.</w:t>
      </w:r>
    </w:p>
    <w:p w:rsidR="00E73F74" w:rsidRDefault="00562747" w:rsidP="00996C7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podstawie Wykresu 4. możemy zauważyć, że w porównaniu do prognozy naiwnej prognoza z wykorzystaniem średniej ruchomej jest bardziej „gładka” – ma niższą wariancję. Wynika to z tego, że wraz ze wzrostem szerokości okna, prognoza średniej ruchomej zbiega do średniej długookresowej. </w:t>
      </w:r>
      <w:r w:rsidR="00E73F74">
        <w:rPr>
          <w:rFonts w:ascii="Times New Roman" w:hAnsi="Times New Roman" w:cs="Times New Roman"/>
          <w:sz w:val="24"/>
          <w:szCs w:val="24"/>
        </w:rPr>
        <w:t xml:space="preserve">Błędy RMSE, MAE i MAPE prognozy uzyskanej metodą średnich ruchomych wyniosły odpowiednio </w:t>
      </w:r>
      <w:r w:rsidR="00E73F74" w:rsidRPr="00E73F74">
        <w:rPr>
          <w:rFonts w:ascii="Times New Roman" w:hAnsi="Times New Roman" w:cs="Times New Roman"/>
          <w:sz w:val="24"/>
          <w:szCs w:val="24"/>
        </w:rPr>
        <w:t>0.05646760</w:t>
      </w:r>
      <w:r w:rsidR="00E73F74">
        <w:rPr>
          <w:rFonts w:ascii="Times New Roman" w:hAnsi="Times New Roman" w:cs="Times New Roman"/>
          <w:sz w:val="24"/>
          <w:szCs w:val="24"/>
        </w:rPr>
        <w:t xml:space="preserve">, </w:t>
      </w:r>
      <w:r w:rsidR="00E73F74" w:rsidRPr="00E73F74">
        <w:rPr>
          <w:rFonts w:ascii="Times New Roman" w:hAnsi="Times New Roman" w:cs="Times New Roman"/>
          <w:sz w:val="24"/>
          <w:szCs w:val="24"/>
        </w:rPr>
        <w:t>0.04314097</w:t>
      </w:r>
      <w:r w:rsidR="00E73F74">
        <w:rPr>
          <w:rFonts w:ascii="Times New Roman" w:hAnsi="Times New Roman" w:cs="Times New Roman"/>
          <w:sz w:val="24"/>
          <w:szCs w:val="24"/>
        </w:rPr>
        <w:t xml:space="preserve"> i </w:t>
      </w:r>
      <w:r w:rsidR="00E73F74" w:rsidRPr="00E73F74">
        <w:rPr>
          <w:rFonts w:ascii="Times New Roman" w:hAnsi="Times New Roman" w:cs="Times New Roman"/>
          <w:sz w:val="24"/>
          <w:szCs w:val="24"/>
        </w:rPr>
        <w:t>0.009407497</w:t>
      </w:r>
      <w:r w:rsidR="00E73F74">
        <w:rPr>
          <w:rFonts w:ascii="Times New Roman" w:hAnsi="Times New Roman" w:cs="Times New Roman"/>
          <w:sz w:val="24"/>
          <w:szCs w:val="24"/>
        </w:rPr>
        <w:t>.</w:t>
      </w:r>
    </w:p>
    <w:p w:rsidR="00031F01" w:rsidRDefault="00031F01" w:rsidP="00562747">
      <w:pPr>
        <w:spacing w:line="360" w:lineRule="auto"/>
        <w:rPr>
          <w:rFonts w:ascii="Times New Roman" w:hAnsi="Times New Roman" w:cs="Times New Roman"/>
          <w:sz w:val="24"/>
          <w:szCs w:val="24"/>
        </w:rPr>
      </w:pPr>
    </w:p>
    <w:p w:rsidR="00031F01" w:rsidRDefault="001940CE" w:rsidP="00031F01">
      <w:pPr>
        <w:pStyle w:val="Akapitzlist"/>
        <w:numPr>
          <w:ilvl w:val="1"/>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Proste w</w:t>
      </w:r>
      <w:r w:rsidR="00031F01" w:rsidRPr="00031F01">
        <w:rPr>
          <w:rFonts w:ascii="Times New Roman" w:hAnsi="Times New Roman" w:cs="Times New Roman"/>
          <w:b/>
          <w:sz w:val="24"/>
          <w:szCs w:val="24"/>
        </w:rPr>
        <w:t>ygładzanie wykładnicze</w:t>
      </w:r>
    </w:p>
    <w:p w:rsidR="005679BD" w:rsidRDefault="005679BD" w:rsidP="005679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Proste wygładzanie wykładnicze można przedstawić jako średnią ważoną przeszłej wartości i przeszłej prognozy:</w:t>
      </w:r>
    </w:p>
    <w:p w:rsidR="005679BD" w:rsidRPr="005679BD" w:rsidRDefault="005679BD" w:rsidP="005679BD">
      <w:pPr>
        <w:spacing w:line="360" w:lineRule="auto"/>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t+1</m:t>
              </m:r>
            </m:sub>
            <m:sup>
              <m:r>
                <w:rPr>
                  <w:rFonts w:ascii="Cambria Math" w:hAnsi="Cambria Math" w:cs="Times New Roman"/>
                  <w:sz w:val="24"/>
                  <w:szCs w:val="24"/>
                </w:rPr>
                <m:t>p</m:t>
              </m:r>
            </m:sup>
          </m:sSubSup>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acc>
        </m:oMath>
      </m:oMathPara>
    </w:p>
    <w:p w:rsidR="005679BD" w:rsidRDefault="005679BD" w:rsidP="00567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gdzie parametr </w:t>
      </w:r>
      <m:oMath>
        <m:r>
          <w:rPr>
            <w:rFonts w:ascii="Cambria Math" w:hAnsi="Cambria Math" w:cs="Times New Roman"/>
            <w:sz w:val="24"/>
            <w:szCs w:val="24"/>
          </w:rPr>
          <m:t>α</m:t>
        </m:r>
      </m:oMath>
      <w:r>
        <w:rPr>
          <w:rFonts w:ascii="Times New Roman" w:hAnsi="Times New Roman" w:cs="Times New Roman"/>
          <w:sz w:val="24"/>
          <w:szCs w:val="24"/>
        </w:rPr>
        <w:t xml:space="preserve"> określa część błędu prognozy, który wykorzystujemy, aby skorygować prognozę z poprzedniego okresu</w:t>
      </w:r>
      <w:r w:rsidR="00C4763E">
        <w:rPr>
          <w:rFonts w:ascii="Times New Roman" w:hAnsi="Times New Roman" w:cs="Times New Roman"/>
          <w:sz w:val="24"/>
          <w:szCs w:val="24"/>
        </w:rPr>
        <w:t>.</w:t>
      </w:r>
      <w:r>
        <w:rPr>
          <w:rFonts w:ascii="Times New Roman" w:hAnsi="Times New Roman" w:cs="Times New Roman"/>
          <w:sz w:val="24"/>
          <w:szCs w:val="24"/>
        </w:rPr>
        <w:t xml:space="preserve"> Po rozpisaniu wzoru widzimy, że kolejne, coraz starsze obserwacje, mają coraz mniejszy wpływ na obecną prognozę. </w:t>
      </w:r>
    </w:p>
    <w:p w:rsidR="00C4763E" w:rsidRDefault="00CC4F78" w:rsidP="00C4763E">
      <w:pPr>
        <w:keepNext/>
        <w:spacing w:line="360" w:lineRule="auto"/>
        <w:jc w:val="center"/>
      </w:pPr>
      <w:r>
        <w:rPr>
          <w:noProof/>
        </w:rPr>
        <w:drawing>
          <wp:inline distT="0" distB="0" distL="0" distR="0">
            <wp:extent cx="4438811" cy="314706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352" cy="3154534"/>
                    </a:xfrm>
                    <a:prstGeom prst="rect">
                      <a:avLst/>
                    </a:prstGeom>
                    <a:noFill/>
                    <a:ln>
                      <a:noFill/>
                    </a:ln>
                  </pic:spPr>
                </pic:pic>
              </a:graphicData>
            </a:graphic>
          </wp:inline>
        </w:drawing>
      </w:r>
    </w:p>
    <w:p w:rsidR="00C4763E" w:rsidRDefault="00C4763E" w:rsidP="00E73F74">
      <w:pPr>
        <w:pStyle w:val="Legenda"/>
        <w:jc w:val="both"/>
        <w:rPr>
          <w:rFonts w:ascii="Times New Roman" w:eastAsiaTheme="minorEastAsia" w:hAnsi="Times New Roman" w:cs="Times New Roman"/>
          <w:sz w:val="24"/>
          <w:szCs w:val="24"/>
        </w:rPr>
      </w:pPr>
      <w:r>
        <w:t xml:space="preserve">Wykres </w:t>
      </w:r>
      <w:r>
        <w:fldChar w:fldCharType="begin"/>
      </w:r>
      <w:r>
        <w:instrText xml:space="preserve"> SEQ Rysunek \* ARABIC </w:instrText>
      </w:r>
      <w:r>
        <w:fldChar w:fldCharType="separate"/>
      </w:r>
      <w:r w:rsidR="00284684">
        <w:rPr>
          <w:noProof/>
        </w:rPr>
        <w:t>5</w:t>
      </w:r>
      <w:r>
        <w:fldChar w:fldCharType="end"/>
      </w:r>
      <w:r>
        <w:t xml:space="preserve">. </w:t>
      </w:r>
      <w:r w:rsidR="00CC4F78">
        <w:t>Wartości dopasowane wyznaczone metodą prostego w</w:t>
      </w:r>
      <w:r>
        <w:t>ygładzani</w:t>
      </w:r>
      <w:r w:rsidR="00CC4F78">
        <w:t>a</w:t>
      </w:r>
      <w:r>
        <w:t xml:space="preserve"> wykładnicze</w:t>
      </w:r>
      <w:r w:rsidR="00CC4F78">
        <w:t>go</w:t>
      </w:r>
      <w:r>
        <w:t xml:space="preserve"> z parametrem alfa = 0.9999. </w:t>
      </w:r>
      <w:r w:rsidR="00E73F74" w:rsidRPr="004C068E">
        <w:t xml:space="preserve">Linia czarna – pierwotny szereg, linia czerwona – </w:t>
      </w:r>
      <w:r w:rsidR="00E73F74">
        <w:t>wartości dopasowane.</w:t>
      </w:r>
      <w:r w:rsidR="00E73F74" w:rsidRPr="004C068E">
        <w:t xml:space="preserve"> </w:t>
      </w:r>
    </w:p>
    <w:p w:rsidR="00D40FD8" w:rsidRDefault="00D40FD8" w:rsidP="005679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C78">
        <w:rPr>
          <w:rFonts w:ascii="Times New Roman" w:hAnsi="Times New Roman" w:cs="Times New Roman"/>
          <w:sz w:val="24"/>
          <w:szCs w:val="24"/>
        </w:rPr>
        <w:t xml:space="preserve">Na Wykresie 5. widzimy, że proste wygładzanie wykładnicze wygląda bardzo podobnie do metody naiwnej. </w:t>
      </w:r>
      <w:r>
        <w:rPr>
          <w:rFonts w:ascii="Times New Roman" w:hAnsi="Times New Roman" w:cs="Times New Roman"/>
          <w:sz w:val="24"/>
          <w:szCs w:val="24"/>
        </w:rPr>
        <w:t>Błędy RMSE</w:t>
      </w:r>
      <w:r w:rsidR="00BA6BC4">
        <w:rPr>
          <w:rFonts w:ascii="Times New Roman" w:hAnsi="Times New Roman" w:cs="Times New Roman"/>
          <w:sz w:val="24"/>
          <w:szCs w:val="24"/>
        </w:rPr>
        <w:t xml:space="preserve">, </w:t>
      </w:r>
      <w:r>
        <w:rPr>
          <w:rFonts w:ascii="Times New Roman" w:hAnsi="Times New Roman" w:cs="Times New Roman"/>
          <w:sz w:val="24"/>
          <w:szCs w:val="24"/>
        </w:rPr>
        <w:t>MAE</w:t>
      </w:r>
      <w:r w:rsidR="00BA6BC4">
        <w:rPr>
          <w:rFonts w:ascii="Times New Roman" w:hAnsi="Times New Roman" w:cs="Times New Roman"/>
          <w:sz w:val="24"/>
          <w:szCs w:val="24"/>
        </w:rPr>
        <w:t xml:space="preserve"> i MAPE</w:t>
      </w:r>
      <w:r>
        <w:rPr>
          <w:rFonts w:ascii="Times New Roman" w:hAnsi="Times New Roman" w:cs="Times New Roman"/>
          <w:sz w:val="24"/>
          <w:szCs w:val="24"/>
        </w:rPr>
        <w:t xml:space="preserve"> prognozy uzyskanej z wykorzystaniem prostego wygładzania wykładniczego </w:t>
      </w:r>
      <w:r w:rsidR="00BA6BC4">
        <w:rPr>
          <w:rFonts w:ascii="Times New Roman" w:hAnsi="Times New Roman" w:cs="Times New Roman"/>
          <w:sz w:val="24"/>
          <w:szCs w:val="24"/>
        </w:rPr>
        <w:t xml:space="preserve">na ruchomym oknie o szerokości 101 okresów </w:t>
      </w:r>
      <w:r>
        <w:rPr>
          <w:rFonts w:ascii="Times New Roman" w:hAnsi="Times New Roman" w:cs="Times New Roman"/>
          <w:sz w:val="24"/>
          <w:szCs w:val="24"/>
        </w:rPr>
        <w:t xml:space="preserve">wyniosły odpowiednio  </w:t>
      </w:r>
      <w:r w:rsidR="00E73F74" w:rsidRPr="00E73F74">
        <w:rPr>
          <w:rFonts w:ascii="Times New Roman" w:hAnsi="Times New Roman" w:cs="Times New Roman"/>
          <w:sz w:val="24"/>
          <w:szCs w:val="24"/>
        </w:rPr>
        <w:t>0.06770252</w:t>
      </w:r>
      <w:r w:rsidR="00E73F74">
        <w:rPr>
          <w:rFonts w:ascii="Times New Roman" w:hAnsi="Times New Roman" w:cs="Times New Roman"/>
          <w:sz w:val="24"/>
          <w:szCs w:val="24"/>
        </w:rPr>
        <w:t xml:space="preserve">, </w:t>
      </w:r>
      <w:r w:rsidR="00E73F74" w:rsidRPr="00E73F74">
        <w:rPr>
          <w:rFonts w:ascii="Times New Roman" w:hAnsi="Times New Roman" w:cs="Times New Roman"/>
          <w:sz w:val="24"/>
          <w:szCs w:val="24"/>
        </w:rPr>
        <w:t>0.0515063</w:t>
      </w:r>
      <w:r w:rsidR="00E73F74">
        <w:rPr>
          <w:rFonts w:ascii="Times New Roman" w:hAnsi="Times New Roman" w:cs="Times New Roman"/>
          <w:sz w:val="24"/>
          <w:szCs w:val="24"/>
        </w:rPr>
        <w:t xml:space="preserve">1 i </w:t>
      </w:r>
      <w:r w:rsidR="00E73F74" w:rsidRPr="00E73F74">
        <w:rPr>
          <w:rFonts w:ascii="Times New Roman" w:hAnsi="Times New Roman" w:cs="Times New Roman"/>
          <w:sz w:val="24"/>
          <w:szCs w:val="24"/>
        </w:rPr>
        <w:t>0.011247174</w:t>
      </w:r>
      <w:r w:rsidR="00E73F74">
        <w:rPr>
          <w:rFonts w:ascii="Times New Roman" w:hAnsi="Times New Roman" w:cs="Times New Roman"/>
          <w:sz w:val="24"/>
          <w:szCs w:val="24"/>
        </w:rPr>
        <w:t>.</w:t>
      </w:r>
    </w:p>
    <w:p w:rsidR="00D40FD8" w:rsidRDefault="00D40FD8" w:rsidP="005679BD">
      <w:pPr>
        <w:spacing w:line="360" w:lineRule="auto"/>
        <w:jc w:val="both"/>
        <w:rPr>
          <w:rFonts w:ascii="Times New Roman" w:hAnsi="Times New Roman" w:cs="Times New Roman"/>
          <w:sz w:val="24"/>
          <w:szCs w:val="24"/>
        </w:rPr>
      </w:pPr>
    </w:p>
    <w:p w:rsidR="00D40FD8" w:rsidRDefault="00D40FD8" w:rsidP="00D40FD8">
      <w:pPr>
        <w:pStyle w:val="Akapitzlist"/>
        <w:numPr>
          <w:ilvl w:val="1"/>
          <w:numId w:val="5"/>
        </w:numPr>
        <w:spacing w:line="360" w:lineRule="auto"/>
        <w:jc w:val="both"/>
        <w:rPr>
          <w:rFonts w:ascii="Times New Roman" w:hAnsi="Times New Roman" w:cs="Times New Roman"/>
          <w:b/>
          <w:sz w:val="24"/>
          <w:szCs w:val="24"/>
        </w:rPr>
      </w:pPr>
      <w:r w:rsidRPr="00D40FD8">
        <w:rPr>
          <w:rFonts w:ascii="Times New Roman" w:hAnsi="Times New Roman" w:cs="Times New Roman"/>
          <w:b/>
          <w:sz w:val="24"/>
          <w:szCs w:val="24"/>
        </w:rPr>
        <w:t xml:space="preserve"> Model ETS</w:t>
      </w:r>
    </w:p>
    <w:p w:rsidR="002C5E3E" w:rsidRDefault="00D40FD8" w:rsidP="00D40FD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Proste wygładzanie wykładnicze może zostać rozwinięte na przypadek z trendem liniowym (model </w:t>
      </w:r>
      <w:proofErr w:type="spellStart"/>
      <w:r>
        <w:rPr>
          <w:rFonts w:ascii="Times New Roman" w:hAnsi="Times New Roman" w:cs="Times New Roman"/>
          <w:sz w:val="24"/>
          <w:szCs w:val="24"/>
        </w:rPr>
        <w:t>Holta</w:t>
      </w:r>
      <w:proofErr w:type="spellEnd"/>
      <w:r>
        <w:rPr>
          <w:rFonts w:ascii="Times New Roman" w:hAnsi="Times New Roman" w:cs="Times New Roman"/>
          <w:sz w:val="24"/>
          <w:szCs w:val="24"/>
        </w:rPr>
        <w:t xml:space="preserve">) bądź trendem liniowym i sezonowością (model </w:t>
      </w:r>
      <w:proofErr w:type="spellStart"/>
      <w:r>
        <w:rPr>
          <w:rFonts w:ascii="Times New Roman" w:hAnsi="Times New Roman" w:cs="Times New Roman"/>
          <w:sz w:val="24"/>
          <w:szCs w:val="24"/>
        </w:rPr>
        <w:t>Holta-Wintersa</w:t>
      </w:r>
      <w:proofErr w:type="spellEnd"/>
      <w:r>
        <w:rPr>
          <w:rFonts w:ascii="Times New Roman" w:hAnsi="Times New Roman" w:cs="Times New Roman"/>
          <w:sz w:val="24"/>
          <w:szCs w:val="24"/>
        </w:rPr>
        <w:t xml:space="preserve">). </w:t>
      </w:r>
      <w:r w:rsidR="002C5E3E" w:rsidRPr="002C5E3E">
        <w:rPr>
          <w:rFonts w:ascii="Times New Roman" w:hAnsi="Times New Roman" w:cs="Times New Roman"/>
          <w:sz w:val="24"/>
          <w:szCs w:val="24"/>
        </w:rPr>
        <w:t>Modele ETS (</w:t>
      </w:r>
      <w:r w:rsidR="002C5E3E" w:rsidRPr="002C5E3E">
        <w:rPr>
          <w:rFonts w:ascii="Times New Roman" w:hAnsi="Times New Roman" w:cs="Times New Roman"/>
          <w:i/>
          <w:sz w:val="24"/>
          <w:szCs w:val="24"/>
        </w:rPr>
        <w:t xml:space="preserve">Error, Trend, </w:t>
      </w:r>
      <w:proofErr w:type="spellStart"/>
      <w:r w:rsidR="002C5E3E" w:rsidRPr="002C5E3E">
        <w:rPr>
          <w:rFonts w:ascii="Times New Roman" w:hAnsi="Times New Roman" w:cs="Times New Roman"/>
          <w:i/>
          <w:sz w:val="24"/>
          <w:szCs w:val="24"/>
        </w:rPr>
        <w:t>Seasonality</w:t>
      </w:r>
      <w:proofErr w:type="spellEnd"/>
      <w:r w:rsidR="002C5E3E" w:rsidRPr="002C5E3E">
        <w:rPr>
          <w:rFonts w:ascii="Times New Roman" w:hAnsi="Times New Roman" w:cs="Times New Roman"/>
          <w:sz w:val="24"/>
          <w:szCs w:val="24"/>
        </w:rPr>
        <w:t xml:space="preserve">) stanowią uogólnienie modelu </w:t>
      </w:r>
      <w:proofErr w:type="spellStart"/>
      <w:r w:rsidR="002C5E3E" w:rsidRPr="002C5E3E">
        <w:rPr>
          <w:rFonts w:ascii="Times New Roman" w:hAnsi="Times New Roman" w:cs="Times New Roman"/>
          <w:sz w:val="24"/>
          <w:szCs w:val="24"/>
        </w:rPr>
        <w:t>Holta-Wintersa</w:t>
      </w:r>
      <w:proofErr w:type="spellEnd"/>
      <w:r w:rsidR="002C5E3E" w:rsidRPr="002C5E3E">
        <w:rPr>
          <w:rFonts w:ascii="Times New Roman" w:hAnsi="Times New Roman" w:cs="Times New Roman"/>
          <w:sz w:val="24"/>
          <w:szCs w:val="24"/>
        </w:rPr>
        <w:t>. Uwzględniają one różne kombinacje specyfiki błędu (addytywny</w:t>
      </w:r>
      <w:r w:rsidR="002C5E3E">
        <w:rPr>
          <w:rFonts w:ascii="Times New Roman" w:hAnsi="Times New Roman" w:cs="Times New Roman"/>
          <w:sz w:val="24"/>
          <w:szCs w:val="24"/>
        </w:rPr>
        <w:t xml:space="preserve"> lub </w:t>
      </w:r>
      <w:r w:rsidR="002C5E3E" w:rsidRPr="002C5E3E">
        <w:rPr>
          <w:rFonts w:ascii="Times New Roman" w:hAnsi="Times New Roman" w:cs="Times New Roman"/>
          <w:sz w:val="24"/>
          <w:szCs w:val="24"/>
        </w:rPr>
        <w:t>multiplikatywny)</w:t>
      </w:r>
      <w:r w:rsidR="002C5E3E">
        <w:rPr>
          <w:rFonts w:ascii="Times New Roman" w:hAnsi="Times New Roman" w:cs="Times New Roman"/>
          <w:sz w:val="24"/>
          <w:szCs w:val="24"/>
        </w:rPr>
        <w:t xml:space="preserve">, trendu (brak, addytywny lub multiplikatywny, wytłumiony lub nie) oraz sezonowości (addytywna lub multiplikatywna) analizowanego szeregu czasowego. </w:t>
      </w:r>
    </w:p>
    <w:p w:rsidR="00284684" w:rsidRDefault="00EB42C2" w:rsidP="00D40FD8">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Uzyskana </w:t>
      </w:r>
      <w:r w:rsidR="00A85AAB">
        <w:rPr>
          <w:rFonts w:ascii="Times New Roman" w:hAnsi="Times New Roman" w:cs="Times New Roman"/>
          <w:sz w:val="24"/>
          <w:szCs w:val="24"/>
        </w:rPr>
        <w:t>za pomocą automatyczn</w:t>
      </w:r>
      <w:r>
        <w:rPr>
          <w:rFonts w:ascii="Times New Roman" w:hAnsi="Times New Roman" w:cs="Times New Roman"/>
          <w:sz w:val="24"/>
          <w:szCs w:val="24"/>
        </w:rPr>
        <w:t>ej</w:t>
      </w:r>
      <w:r w:rsidR="00A85AAB">
        <w:rPr>
          <w:rFonts w:ascii="Times New Roman" w:hAnsi="Times New Roman" w:cs="Times New Roman"/>
          <w:sz w:val="24"/>
          <w:szCs w:val="24"/>
        </w:rPr>
        <w:t xml:space="preserve"> procedur</w:t>
      </w:r>
      <w:r>
        <w:rPr>
          <w:rFonts w:ascii="Times New Roman" w:hAnsi="Times New Roman" w:cs="Times New Roman"/>
          <w:sz w:val="24"/>
          <w:szCs w:val="24"/>
        </w:rPr>
        <w:t>y</w:t>
      </w:r>
      <w:r w:rsidR="00A85AAB">
        <w:rPr>
          <w:rFonts w:ascii="Times New Roman" w:hAnsi="Times New Roman" w:cs="Times New Roman"/>
          <w:sz w:val="24"/>
          <w:szCs w:val="24"/>
        </w:rPr>
        <w:t xml:space="preserve"> struktur</w:t>
      </w:r>
      <w:r>
        <w:rPr>
          <w:rFonts w:ascii="Times New Roman" w:hAnsi="Times New Roman" w:cs="Times New Roman"/>
          <w:sz w:val="24"/>
          <w:szCs w:val="24"/>
        </w:rPr>
        <w:t>a</w:t>
      </w:r>
      <w:r w:rsidR="00284684">
        <w:rPr>
          <w:rFonts w:ascii="Times New Roman" w:hAnsi="Times New Roman" w:cs="Times New Roman"/>
          <w:sz w:val="24"/>
          <w:szCs w:val="24"/>
        </w:rPr>
        <w:t xml:space="preserve"> i parametryzacja</w:t>
      </w:r>
      <w:r>
        <w:rPr>
          <w:rFonts w:ascii="Times New Roman" w:hAnsi="Times New Roman" w:cs="Times New Roman"/>
          <w:sz w:val="24"/>
          <w:szCs w:val="24"/>
        </w:rPr>
        <w:t xml:space="preserve"> modelu wskazuje na błąd multiplikatywny oraz brak trendu i sezonowości (model MNN). Parametr wygładzania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zoptymalizowany pod kątem funkcji największej wiarygodności i MSE wyniósł 0.999. Wydaje się to sensowną strukturą modelu, zgodną z wcześniejszymi obserwacjami</w:t>
      </w:r>
      <w:r w:rsidR="00284684">
        <w:rPr>
          <w:rFonts w:ascii="Times New Roman" w:eastAsiaTheme="minorEastAsia" w:hAnsi="Times New Roman" w:cs="Times New Roman"/>
          <w:sz w:val="24"/>
          <w:szCs w:val="24"/>
        </w:rPr>
        <w:t>.</w:t>
      </w:r>
    </w:p>
    <w:p w:rsidR="00284684" w:rsidRDefault="00BA6BC4" w:rsidP="00284684">
      <w:pPr>
        <w:keepNext/>
        <w:spacing w:line="360" w:lineRule="auto"/>
        <w:ind w:firstLine="720"/>
        <w:jc w:val="center"/>
      </w:pPr>
      <w:r>
        <w:rPr>
          <w:noProof/>
        </w:rPr>
        <w:drawing>
          <wp:inline distT="0" distB="0" distL="0" distR="0">
            <wp:extent cx="4342716" cy="2971332"/>
            <wp:effectExtent l="0" t="0" r="127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6176" cy="2994225"/>
                    </a:xfrm>
                    <a:prstGeom prst="rect">
                      <a:avLst/>
                    </a:prstGeom>
                    <a:noFill/>
                    <a:ln>
                      <a:noFill/>
                    </a:ln>
                  </pic:spPr>
                </pic:pic>
              </a:graphicData>
            </a:graphic>
          </wp:inline>
        </w:drawing>
      </w:r>
    </w:p>
    <w:p w:rsidR="00284684" w:rsidRDefault="00284684" w:rsidP="00BA6BC4">
      <w:pPr>
        <w:pStyle w:val="Legenda"/>
        <w:jc w:val="both"/>
      </w:pPr>
      <w:r>
        <w:t xml:space="preserve">Wykres 6. </w:t>
      </w:r>
      <w:r w:rsidR="00BA6BC4">
        <w:t>Wartości dopasowane m</w:t>
      </w:r>
      <w:r>
        <w:t>odel</w:t>
      </w:r>
      <w:r w:rsidR="00BA6BC4">
        <w:t>u</w:t>
      </w:r>
      <w:r>
        <w:t xml:space="preserve"> ETS z wybraną automatycznie strukturą i parametrami.</w:t>
      </w:r>
      <w:r w:rsidRPr="004C068E">
        <w:t xml:space="preserve"> </w:t>
      </w:r>
      <w:r w:rsidR="00E73F74" w:rsidRPr="004C068E">
        <w:t xml:space="preserve">Linia czarna – pierwotny szereg, linia czerwona – </w:t>
      </w:r>
      <w:r w:rsidR="00E73F74">
        <w:t>wartości dopasowane.</w:t>
      </w:r>
      <w:r w:rsidR="00E73F74" w:rsidRPr="004C068E">
        <w:t xml:space="preserve"> </w:t>
      </w:r>
    </w:p>
    <w:p w:rsidR="001D3263" w:rsidRDefault="00284684" w:rsidP="001D32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C78">
        <w:rPr>
          <w:rFonts w:ascii="Times New Roman" w:hAnsi="Times New Roman" w:cs="Times New Roman"/>
          <w:sz w:val="24"/>
          <w:szCs w:val="24"/>
        </w:rPr>
        <w:t xml:space="preserve">Na Wykresie 6. widzimy, że model ETS jest podobny to prognozy naiwnej oraz prostego wygładzania wykładniczego. </w:t>
      </w:r>
      <w:r>
        <w:rPr>
          <w:rFonts w:ascii="Times New Roman" w:hAnsi="Times New Roman" w:cs="Times New Roman"/>
          <w:sz w:val="24"/>
          <w:szCs w:val="24"/>
        </w:rPr>
        <w:t>Błędy prognozy</w:t>
      </w:r>
      <w:r w:rsidR="004826AB">
        <w:rPr>
          <w:rFonts w:ascii="Times New Roman" w:hAnsi="Times New Roman" w:cs="Times New Roman"/>
          <w:sz w:val="24"/>
          <w:szCs w:val="24"/>
        </w:rPr>
        <w:t xml:space="preserve"> RMSE</w:t>
      </w:r>
      <w:r w:rsidR="00BA6BC4">
        <w:rPr>
          <w:rFonts w:ascii="Times New Roman" w:hAnsi="Times New Roman" w:cs="Times New Roman"/>
          <w:sz w:val="24"/>
          <w:szCs w:val="24"/>
        </w:rPr>
        <w:t xml:space="preserve">, </w:t>
      </w:r>
      <w:r w:rsidR="004826AB">
        <w:rPr>
          <w:rFonts w:ascii="Times New Roman" w:hAnsi="Times New Roman" w:cs="Times New Roman"/>
          <w:sz w:val="24"/>
          <w:szCs w:val="24"/>
        </w:rPr>
        <w:t>MAE</w:t>
      </w:r>
      <w:r w:rsidR="00BA6BC4">
        <w:rPr>
          <w:rFonts w:ascii="Times New Roman" w:hAnsi="Times New Roman" w:cs="Times New Roman"/>
          <w:sz w:val="24"/>
          <w:szCs w:val="24"/>
        </w:rPr>
        <w:t xml:space="preserve"> i MAPE</w:t>
      </w:r>
      <w:r>
        <w:rPr>
          <w:rFonts w:ascii="Times New Roman" w:hAnsi="Times New Roman" w:cs="Times New Roman"/>
          <w:sz w:val="24"/>
          <w:szCs w:val="24"/>
        </w:rPr>
        <w:t xml:space="preserve"> uzyskane za pomocą wygenerowanego w ten sposób </w:t>
      </w:r>
      <w:r w:rsidR="004826AB">
        <w:rPr>
          <w:rFonts w:ascii="Times New Roman" w:hAnsi="Times New Roman" w:cs="Times New Roman"/>
          <w:sz w:val="24"/>
          <w:szCs w:val="24"/>
        </w:rPr>
        <w:t>modelu wynoszą odpowiednio</w:t>
      </w:r>
      <w:r w:rsidR="00AF1705">
        <w:rPr>
          <w:rFonts w:ascii="Times New Roman" w:hAnsi="Times New Roman" w:cs="Times New Roman"/>
          <w:sz w:val="24"/>
          <w:szCs w:val="24"/>
        </w:rPr>
        <w:t xml:space="preserve"> </w:t>
      </w:r>
      <w:r w:rsidR="00AF1705" w:rsidRPr="00AF1705">
        <w:rPr>
          <w:rFonts w:ascii="Times New Roman" w:hAnsi="Times New Roman" w:cs="Times New Roman"/>
          <w:sz w:val="24"/>
          <w:szCs w:val="24"/>
        </w:rPr>
        <w:t>0.06770252</w:t>
      </w:r>
      <w:r w:rsidR="00AF1705">
        <w:rPr>
          <w:rFonts w:ascii="Times New Roman" w:hAnsi="Times New Roman" w:cs="Times New Roman"/>
          <w:sz w:val="24"/>
          <w:szCs w:val="24"/>
        </w:rPr>
        <w:t xml:space="preserve">, </w:t>
      </w:r>
      <w:r w:rsidR="00AF1705" w:rsidRPr="00AF1705">
        <w:rPr>
          <w:rFonts w:ascii="Times New Roman" w:hAnsi="Times New Roman" w:cs="Times New Roman"/>
          <w:sz w:val="24"/>
          <w:szCs w:val="24"/>
        </w:rPr>
        <w:t>0.05150633</w:t>
      </w:r>
      <w:r w:rsidR="00AF1705">
        <w:rPr>
          <w:rFonts w:ascii="Times New Roman" w:hAnsi="Times New Roman" w:cs="Times New Roman"/>
          <w:sz w:val="24"/>
          <w:szCs w:val="24"/>
        </w:rPr>
        <w:t xml:space="preserve"> i </w:t>
      </w:r>
      <w:r w:rsidR="00AF1705" w:rsidRPr="00AF1705">
        <w:rPr>
          <w:rFonts w:ascii="Times New Roman" w:hAnsi="Times New Roman" w:cs="Times New Roman"/>
          <w:sz w:val="24"/>
          <w:szCs w:val="24"/>
        </w:rPr>
        <w:t>0.011247177</w:t>
      </w:r>
      <w:r w:rsidR="00AF1705">
        <w:rPr>
          <w:rFonts w:ascii="Times New Roman" w:hAnsi="Times New Roman" w:cs="Times New Roman"/>
          <w:sz w:val="24"/>
          <w:szCs w:val="24"/>
        </w:rPr>
        <w:t>.</w:t>
      </w:r>
    </w:p>
    <w:p w:rsidR="004826AB" w:rsidRPr="004826AB" w:rsidRDefault="004826AB" w:rsidP="001D3263">
      <w:pPr>
        <w:spacing w:line="360" w:lineRule="auto"/>
        <w:jc w:val="both"/>
        <w:rPr>
          <w:rFonts w:ascii="Times New Roman" w:hAnsi="Times New Roman" w:cs="Times New Roman"/>
          <w:sz w:val="24"/>
          <w:szCs w:val="24"/>
        </w:rPr>
      </w:pPr>
    </w:p>
    <w:p w:rsidR="00E74638" w:rsidRPr="00F067B7" w:rsidRDefault="00F067B7" w:rsidP="00F067B7">
      <w:pPr>
        <w:spacing w:line="360" w:lineRule="auto"/>
        <w:ind w:firstLine="720"/>
        <w:jc w:val="both"/>
        <w:rPr>
          <w:rFonts w:ascii="Times New Roman" w:hAnsi="Times New Roman" w:cs="Times New Roman"/>
          <w:b/>
          <w:sz w:val="24"/>
          <w:szCs w:val="24"/>
        </w:rPr>
      </w:pPr>
      <w:r w:rsidRPr="00F067B7">
        <w:rPr>
          <w:rFonts w:ascii="Times New Roman" w:hAnsi="Times New Roman" w:cs="Times New Roman"/>
          <w:b/>
          <w:sz w:val="24"/>
          <w:szCs w:val="24"/>
        </w:rPr>
        <w:t xml:space="preserve">4.5. </w:t>
      </w:r>
      <w:r w:rsidR="001D3263" w:rsidRPr="00F067B7">
        <w:rPr>
          <w:rFonts w:ascii="Times New Roman" w:hAnsi="Times New Roman" w:cs="Times New Roman"/>
          <w:b/>
          <w:sz w:val="24"/>
          <w:szCs w:val="24"/>
        </w:rPr>
        <w:t>Model ARIMA</w:t>
      </w:r>
    </w:p>
    <w:p w:rsidR="00262B97" w:rsidRDefault="00262B97" w:rsidP="001940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Jako ostatnie zostały </w:t>
      </w:r>
      <w:r w:rsidR="00536294">
        <w:rPr>
          <w:rFonts w:ascii="Times New Roman" w:hAnsi="Times New Roman" w:cs="Times New Roman"/>
          <w:sz w:val="24"/>
          <w:szCs w:val="24"/>
        </w:rPr>
        <w:t xml:space="preserve">przeprowadzone </w:t>
      </w:r>
      <w:r>
        <w:rPr>
          <w:rFonts w:ascii="Times New Roman" w:hAnsi="Times New Roman" w:cs="Times New Roman"/>
          <w:sz w:val="24"/>
          <w:szCs w:val="24"/>
        </w:rPr>
        <w:t>prognozy z wykorzystanie</w:t>
      </w:r>
      <w:r w:rsidR="001940CE">
        <w:rPr>
          <w:rFonts w:ascii="Times New Roman" w:hAnsi="Times New Roman" w:cs="Times New Roman"/>
          <w:sz w:val="24"/>
          <w:szCs w:val="24"/>
        </w:rPr>
        <w:t>m</w:t>
      </w:r>
      <w:r>
        <w:rPr>
          <w:rFonts w:ascii="Times New Roman" w:hAnsi="Times New Roman" w:cs="Times New Roman"/>
          <w:sz w:val="24"/>
          <w:szCs w:val="24"/>
        </w:rPr>
        <w:t xml:space="preserve"> model</w:t>
      </w:r>
      <w:r w:rsidR="00285F2A">
        <w:rPr>
          <w:rFonts w:ascii="Times New Roman" w:hAnsi="Times New Roman" w:cs="Times New Roman"/>
          <w:sz w:val="24"/>
          <w:szCs w:val="24"/>
        </w:rPr>
        <w:t>u</w:t>
      </w:r>
      <w:r>
        <w:rPr>
          <w:rFonts w:ascii="Times New Roman" w:hAnsi="Times New Roman" w:cs="Times New Roman"/>
          <w:sz w:val="24"/>
          <w:szCs w:val="24"/>
        </w:rPr>
        <w:t xml:space="preserve"> ARIMA.</w:t>
      </w:r>
      <w:r w:rsidR="00285F2A">
        <w:rPr>
          <w:rFonts w:ascii="Times New Roman" w:hAnsi="Times New Roman" w:cs="Times New Roman"/>
          <w:sz w:val="24"/>
          <w:szCs w:val="24"/>
        </w:rPr>
        <w:t xml:space="preserve"> Modele ARIMA</w:t>
      </w:r>
      <w:r w:rsidR="00536294">
        <w:rPr>
          <w:rFonts w:ascii="Times New Roman" w:hAnsi="Times New Roman" w:cs="Times New Roman"/>
          <w:sz w:val="24"/>
          <w:szCs w:val="24"/>
        </w:rPr>
        <w:t>(p, d, q)</w:t>
      </w:r>
      <w:r w:rsidR="00285F2A">
        <w:rPr>
          <w:rFonts w:ascii="Times New Roman" w:hAnsi="Times New Roman" w:cs="Times New Roman"/>
          <w:sz w:val="24"/>
          <w:szCs w:val="24"/>
        </w:rPr>
        <w:t xml:space="preserve"> składają się trzech elementów: </w:t>
      </w:r>
    </w:p>
    <w:p w:rsidR="00285F2A" w:rsidRDefault="00285F2A" w:rsidP="00285F2A">
      <w:pPr>
        <w:pStyle w:val="Akapitzlist"/>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procesu autoregresyjnego AR</w:t>
      </w:r>
      <w:r w:rsidR="00536294">
        <w:rPr>
          <w:rFonts w:ascii="Times New Roman" w:hAnsi="Times New Roman" w:cs="Times New Roman"/>
          <w:sz w:val="24"/>
          <w:szCs w:val="24"/>
        </w:rPr>
        <w:t>(p), wskazującego jak przeszłe wartości zmiennej wpływają na jej wartość obecność</w:t>
      </w:r>
    </w:p>
    <w:p w:rsidR="00285F2A" w:rsidRDefault="00285F2A" w:rsidP="00285F2A">
      <w:pPr>
        <w:pStyle w:val="Akapitzlist"/>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procesu średniej ruchomej MA</w:t>
      </w:r>
      <w:r w:rsidR="00536294">
        <w:rPr>
          <w:rFonts w:ascii="Times New Roman" w:hAnsi="Times New Roman" w:cs="Times New Roman"/>
          <w:sz w:val="24"/>
          <w:szCs w:val="24"/>
        </w:rPr>
        <w:t>(q), wskazującego, jak przeszłe błędy losowe zmiennej wpływają na jej na wartość obecną</w:t>
      </w:r>
    </w:p>
    <w:p w:rsidR="001940CE" w:rsidRDefault="00285F2A" w:rsidP="00536294">
      <w:pPr>
        <w:pStyle w:val="Akapitzlist"/>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stopnia integracji I</w:t>
      </w:r>
      <w:r w:rsidR="00536294">
        <w:rPr>
          <w:rFonts w:ascii="Times New Roman" w:hAnsi="Times New Roman" w:cs="Times New Roman"/>
          <w:sz w:val="24"/>
          <w:szCs w:val="24"/>
        </w:rPr>
        <w:t>(d)</w:t>
      </w:r>
    </w:p>
    <w:p w:rsidR="00BA6BC4" w:rsidRDefault="00F067B7" w:rsidP="00F067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Wybór odpowiednich parametrów modelu został przeprowadzony automatycznie</w:t>
      </w:r>
      <w:r w:rsidR="00E40657">
        <w:rPr>
          <w:rFonts w:ascii="Times New Roman" w:hAnsi="Times New Roman" w:cs="Times New Roman"/>
          <w:sz w:val="24"/>
          <w:szCs w:val="24"/>
        </w:rPr>
        <w:t xml:space="preserve">. W ten sposób uzyskano model ARIMA(3, 1, 0). </w:t>
      </w:r>
      <w:r w:rsidR="00996C78">
        <w:rPr>
          <w:rFonts w:ascii="Times New Roman" w:hAnsi="Times New Roman" w:cs="Times New Roman"/>
          <w:sz w:val="24"/>
          <w:szCs w:val="24"/>
        </w:rPr>
        <w:t xml:space="preserve">Wydaje się to rozsądną parametryzacją, m.in. już wcześniej wykazano, że szereg jest zintegrowany na poziomie 1. </w:t>
      </w:r>
    </w:p>
    <w:p w:rsidR="00BA6BC4" w:rsidRDefault="00BA6BC4" w:rsidP="00BA6BC4">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13311B" wp14:editId="7B4F914D">
            <wp:extent cx="4215709" cy="303276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3733" cy="3045727"/>
                    </a:xfrm>
                    <a:prstGeom prst="rect">
                      <a:avLst/>
                    </a:prstGeom>
                    <a:noFill/>
                    <a:ln>
                      <a:noFill/>
                    </a:ln>
                  </pic:spPr>
                </pic:pic>
              </a:graphicData>
            </a:graphic>
          </wp:inline>
        </w:drawing>
      </w:r>
    </w:p>
    <w:p w:rsidR="00BA6BC4" w:rsidRPr="00BA6BC4" w:rsidRDefault="00BA6BC4" w:rsidP="00BA6BC4">
      <w:pPr>
        <w:pStyle w:val="Legenda"/>
        <w:jc w:val="both"/>
      </w:pPr>
      <w:r>
        <w:t>Wykres 7. Wartości dopasowane modelu ARIMA(3, 1, 0).</w:t>
      </w:r>
      <w:r w:rsidRPr="004C068E">
        <w:t xml:space="preserve"> Linia czarna – pierwotny szereg, linia czerwona – </w:t>
      </w:r>
      <w:r>
        <w:t>wartości dopasowane.</w:t>
      </w:r>
      <w:r w:rsidRPr="004C068E">
        <w:t xml:space="preserve"> </w:t>
      </w:r>
    </w:p>
    <w:p w:rsidR="00E40657" w:rsidRDefault="00996C78" w:rsidP="00BA6B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 przeciwieństwie do prognozy naiwnej, prostego wygładzania wykładniczego czy modelu ETS, dopasowanie na podstawie modelu ARIMA na Wykresie 7. odbiega nieznacznie od zwykłego „przesunięcia wykresu”. </w:t>
      </w:r>
      <w:r w:rsidR="00BA6BC4">
        <w:rPr>
          <w:rFonts w:ascii="Times New Roman" w:hAnsi="Times New Roman" w:cs="Times New Roman"/>
          <w:sz w:val="24"/>
          <w:szCs w:val="24"/>
        </w:rPr>
        <w:t xml:space="preserve">Błędy RMSE, MAE i MAPE prognozy uzyskanej z wykorzystaniem prostego wygładzania wykładniczego na ruchomym oknie o szerokości 101 okresów wyniosły odpowiednio </w:t>
      </w:r>
      <w:r w:rsidR="00AF1705" w:rsidRPr="00AF1705">
        <w:rPr>
          <w:rFonts w:ascii="Times New Roman" w:hAnsi="Times New Roman" w:cs="Times New Roman"/>
          <w:sz w:val="24"/>
          <w:szCs w:val="24"/>
        </w:rPr>
        <w:t>0.07063705</w:t>
      </w:r>
      <w:r w:rsidR="00AF1705">
        <w:rPr>
          <w:rFonts w:ascii="Times New Roman" w:hAnsi="Times New Roman" w:cs="Times New Roman"/>
          <w:sz w:val="24"/>
          <w:szCs w:val="24"/>
        </w:rPr>
        <w:t xml:space="preserve">, </w:t>
      </w:r>
      <w:r w:rsidR="00AF1705" w:rsidRPr="00AF1705">
        <w:rPr>
          <w:rFonts w:ascii="Times New Roman" w:hAnsi="Times New Roman" w:cs="Times New Roman"/>
          <w:sz w:val="24"/>
          <w:szCs w:val="24"/>
        </w:rPr>
        <w:t>0.05401943</w:t>
      </w:r>
      <w:r w:rsidR="00AF1705">
        <w:rPr>
          <w:rFonts w:ascii="Times New Roman" w:hAnsi="Times New Roman" w:cs="Times New Roman"/>
          <w:sz w:val="24"/>
          <w:szCs w:val="24"/>
        </w:rPr>
        <w:t xml:space="preserve">, </w:t>
      </w:r>
      <w:r w:rsidR="00AF1705" w:rsidRPr="00AF1705">
        <w:rPr>
          <w:rFonts w:ascii="Times New Roman" w:hAnsi="Times New Roman" w:cs="Times New Roman"/>
          <w:sz w:val="24"/>
          <w:szCs w:val="24"/>
        </w:rPr>
        <w:t>0.011786898</w:t>
      </w:r>
      <w:r w:rsidR="00AF1705">
        <w:rPr>
          <w:rFonts w:ascii="Times New Roman" w:hAnsi="Times New Roman" w:cs="Times New Roman"/>
          <w:sz w:val="24"/>
          <w:szCs w:val="24"/>
        </w:rPr>
        <w:t>.</w:t>
      </w:r>
    </w:p>
    <w:p w:rsidR="00BA6BC4" w:rsidRDefault="00BA6BC4" w:rsidP="00BA6BC4">
      <w:pPr>
        <w:spacing w:line="360" w:lineRule="auto"/>
        <w:ind w:firstLine="720"/>
        <w:jc w:val="both"/>
        <w:rPr>
          <w:rFonts w:ascii="Times New Roman" w:hAnsi="Times New Roman" w:cs="Times New Roman"/>
          <w:sz w:val="24"/>
          <w:szCs w:val="24"/>
        </w:rPr>
      </w:pPr>
    </w:p>
    <w:p w:rsidR="00536294" w:rsidRDefault="00E40657" w:rsidP="00E40657">
      <w:pPr>
        <w:pStyle w:val="Akapitzlist"/>
        <w:numPr>
          <w:ilvl w:val="0"/>
          <w:numId w:val="5"/>
        </w:numPr>
        <w:spacing w:line="360" w:lineRule="auto"/>
        <w:jc w:val="both"/>
        <w:rPr>
          <w:rFonts w:ascii="Times New Roman" w:hAnsi="Times New Roman" w:cs="Times New Roman"/>
          <w:b/>
          <w:sz w:val="24"/>
          <w:szCs w:val="24"/>
        </w:rPr>
      </w:pPr>
      <w:r w:rsidRPr="00E40657">
        <w:rPr>
          <w:rFonts w:ascii="Times New Roman" w:hAnsi="Times New Roman" w:cs="Times New Roman"/>
          <w:b/>
          <w:sz w:val="24"/>
          <w:szCs w:val="24"/>
        </w:rPr>
        <w:t>Podsumowanie i wnioski</w:t>
      </w:r>
    </w:p>
    <w:p w:rsidR="00E73F74" w:rsidRPr="00E73F74" w:rsidRDefault="00E73F74" w:rsidP="00E73F74">
      <w:pPr>
        <w:spacing w:line="360" w:lineRule="auto"/>
        <w:ind w:firstLine="720"/>
        <w:jc w:val="both"/>
        <w:rPr>
          <w:rFonts w:ascii="Times New Roman" w:hAnsi="Times New Roman" w:cs="Times New Roman"/>
          <w:sz w:val="24"/>
          <w:szCs w:val="24"/>
        </w:rPr>
      </w:pPr>
      <w:r w:rsidRPr="00E73F74">
        <w:rPr>
          <w:rFonts w:ascii="Times New Roman" w:hAnsi="Times New Roman" w:cs="Times New Roman"/>
          <w:sz w:val="24"/>
          <w:szCs w:val="24"/>
        </w:rPr>
        <w:t>Poniższa tabela prezentuje porównanie błędów RMSE, MAE i MAPE uzyskanych różnymi metodami.</w:t>
      </w:r>
    </w:p>
    <w:tbl>
      <w:tblPr>
        <w:tblStyle w:val="Tabela-Siatka"/>
        <w:tblW w:w="0" w:type="auto"/>
        <w:tblInd w:w="0" w:type="dxa"/>
        <w:tblLook w:val="04A0" w:firstRow="1" w:lastRow="0" w:firstColumn="1" w:lastColumn="0" w:noHBand="0" w:noVBand="1"/>
      </w:tblPr>
      <w:tblGrid>
        <w:gridCol w:w="3114"/>
        <w:gridCol w:w="1982"/>
        <w:gridCol w:w="1983"/>
        <w:gridCol w:w="1983"/>
      </w:tblGrid>
      <w:tr w:rsidR="00E73F74" w:rsidTr="00E73F74">
        <w:trPr>
          <w:trHeight w:val="624"/>
        </w:trPr>
        <w:tc>
          <w:tcPr>
            <w:tcW w:w="3114" w:type="dxa"/>
            <w:vAlign w:val="center"/>
          </w:tcPr>
          <w:p w:rsidR="00E73F74" w:rsidRPr="00E73F74" w:rsidRDefault="00E73F74" w:rsidP="00E73F74">
            <w:pPr>
              <w:spacing w:after="0" w:line="360" w:lineRule="auto"/>
              <w:jc w:val="center"/>
              <w:rPr>
                <w:rFonts w:ascii="Times New Roman" w:hAnsi="Times New Roman" w:cs="Times New Roman"/>
                <w:b/>
                <w:sz w:val="20"/>
                <w:szCs w:val="20"/>
              </w:rPr>
            </w:pPr>
            <w:r w:rsidRPr="00E73F74">
              <w:rPr>
                <w:rFonts w:ascii="Times New Roman" w:hAnsi="Times New Roman" w:cs="Times New Roman"/>
                <w:b/>
                <w:sz w:val="20"/>
                <w:szCs w:val="20"/>
              </w:rPr>
              <w:lastRenderedPageBreak/>
              <w:t>Metoda</w:t>
            </w:r>
          </w:p>
        </w:tc>
        <w:tc>
          <w:tcPr>
            <w:tcW w:w="1982" w:type="dxa"/>
            <w:vAlign w:val="center"/>
          </w:tcPr>
          <w:p w:rsidR="00E73F74" w:rsidRPr="00E73F74" w:rsidRDefault="00E73F74" w:rsidP="00E73F74">
            <w:pPr>
              <w:spacing w:after="0" w:line="360" w:lineRule="auto"/>
              <w:jc w:val="center"/>
              <w:rPr>
                <w:rFonts w:ascii="Times New Roman" w:hAnsi="Times New Roman" w:cs="Times New Roman"/>
                <w:b/>
                <w:sz w:val="20"/>
                <w:szCs w:val="20"/>
              </w:rPr>
            </w:pPr>
            <w:r w:rsidRPr="00E73F74">
              <w:rPr>
                <w:rFonts w:ascii="Times New Roman" w:hAnsi="Times New Roman" w:cs="Times New Roman"/>
                <w:b/>
                <w:sz w:val="20"/>
                <w:szCs w:val="20"/>
              </w:rPr>
              <w:t>RMSE</w:t>
            </w:r>
          </w:p>
        </w:tc>
        <w:tc>
          <w:tcPr>
            <w:tcW w:w="1983" w:type="dxa"/>
            <w:vAlign w:val="center"/>
          </w:tcPr>
          <w:p w:rsidR="00E73F74" w:rsidRPr="00E73F74" w:rsidRDefault="00E73F74" w:rsidP="00E73F74">
            <w:pPr>
              <w:spacing w:after="0" w:line="360" w:lineRule="auto"/>
              <w:jc w:val="center"/>
              <w:rPr>
                <w:rFonts w:ascii="Times New Roman" w:hAnsi="Times New Roman" w:cs="Times New Roman"/>
                <w:b/>
                <w:sz w:val="20"/>
                <w:szCs w:val="20"/>
              </w:rPr>
            </w:pPr>
            <w:r w:rsidRPr="00E73F74">
              <w:rPr>
                <w:rFonts w:ascii="Times New Roman" w:hAnsi="Times New Roman" w:cs="Times New Roman"/>
                <w:b/>
                <w:sz w:val="20"/>
                <w:szCs w:val="20"/>
              </w:rPr>
              <w:t>MAE</w:t>
            </w:r>
          </w:p>
        </w:tc>
        <w:tc>
          <w:tcPr>
            <w:tcW w:w="1983" w:type="dxa"/>
            <w:vAlign w:val="center"/>
          </w:tcPr>
          <w:p w:rsidR="00E73F74" w:rsidRPr="00E73F74" w:rsidRDefault="00E73F74" w:rsidP="00E73F74">
            <w:pPr>
              <w:spacing w:after="0" w:line="360" w:lineRule="auto"/>
              <w:jc w:val="center"/>
              <w:rPr>
                <w:rFonts w:ascii="Times New Roman" w:hAnsi="Times New Roman" w:cs="Times New Roman"/>
                <w:b/>
                <w:sz w:val="20"/>
                <w:szCs w:val="20"/>
              </w:rPr>
            </w:pPr>
            <w:r w:rsidRPr="00E73F74">
              <w:rPr>
                <w:rFonts w:ascii="Times New Roman" w:hAnsi="Times New Roman" w:cs="Times New Roman"/>
                <w:b/>
                <w:sz w:val="20"/>
                <w:szCs w:val="20"/>
              </w:rPr>
              <w:t>MAPE</w:t>
            </w:r>
          </w:p>
        </w:tc>
      </w:tr>
      <w:tr w:rsidR="00E73F74" w:rsidTr="00E73F74">
        <w:trPr>
          <w:trHeight w:val="624"/>
        </w:trPr>
        <w:tc>
          <w:tcPr>
            <w:tcW w:w="3114"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Naiwna</w:t>
            </w:r>
          </w:p>
        </w:tc>
        <w:tc>
          <w:tcPr>
            <w:tcW w:w="1982"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0.06770463</w:t>
            </w:r>
          </w:p>
        </w:tc>
        <w:tc>
          <w:tcPr>
            <w:tcW w:w="1983"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0.05150833</w:t>
            </w:r>
          </w:p>
        </w:tc>
        <w:tc>
          <w:tcPr>
            <w:tcW w:w="1983"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0.011247613</w:t>
            </w:r>
          </w:p>
        </w:tc>
      </w:tr>
      <w:tr w:rsidR="00E73F74" w:rsidTr="00E73F74">
        <w:trPr>
          <w:trHeight w:val="624"/>
        </w:trPr>
        <w:tc>
          <w:tcPr>
            <w:tcW w:w="3114" w:type="dxa"/>
            <w:vAlign w:val="center"/>
          </w:tcPr>
          <w:p w:rsidR="00E73F74" w:rsidRPr="000A4C79" w:rsidRDefault="00E73F74" w:rsidP="00E73F74">
            <w:pPr>
              <w:spacing w:after="0" w:line="360" w:lineRule="auto"/>
              <w:jc w:val="center"/>
              <w:rPr>
                <w:rFonts w:ascii="Times New Roman" w:hAnsi="Times New Roman" w:cs="Times New Roman"/>
                <w:b/>
                <w:sz w:val="20"/>
                <w:szCs w:val="20"/>
              </w:rPr>
            </w:pPr>
            <w:bookmarkStart w:id="1" w:name="_Hlk108379866"/>
            <w:r w:rsidRPr="000A4C79">
              <w:rPr>
                <w:rFonts w:ascii="Times New Roman" w:hAnsi="Times New Roman" w:cs="Times New Roman"/>
                <w:b/>
                <w:sz w:val="20"/>
                <w:szCs w:val="20"/>
              </w:rPr>
              <w:t>Średniej ruchomej, k = 6</w:t>
            </w:r>
          </w:p>
        </w:tc>
        <w:tc>
          <w:tcPr>
            <w:tcW w:w="1982" w:type="dxa"/>
            <w:vAlign w:val="center"/>
          </w:tcPr>
          <w:p w:rsidR="00E73F74" w:rsidRPr="000A4C79" w:rsidRDefault="00E73F74" w:rsidP="00E73F74">
            <w:pPr>
              <w:spacing w:after="0" w:line="360" w:lineRule="auto"/>
              <w:jc w:val="center"/>
              <w:rPr>
                <w:rFonts w:ascii="Times New Roman" w:hAnsi="Times New Roman" w:cs="Times New Roman"/>
                <w:b/>
                <w:sz w:val="20"/>
                <w:szCs w:val="20"/>
              </w:rPr>
            </w:pPr>
            <w:r w:rsidRPr="000A4C79">
              <w:rPr>
                <w:rFonts w:ascii="Times New Roman" w:hAnsi="Times New Roman" w:cs="Times New Roman"/>
                <w:b/>
                <w:sz w:val="20"/>
                <w:szCs w:val="20"/>
              </w:rPr>
              <w:t>0.05646760</w:t>
            </w:r>
          </w:p>
        </w:tc>
        <w:tc>
          <w:tcPr>
            <w:tcW w:w="1983" w:type="dxa"/>
            <w:vAlign w:val="center"/>
          </w:tcPr>
          <w:p w:rsidR="00E73F74" w:rsidRPr="000A4C79" w:rsidRDefault="00E73F74" w:rsidP="00E73F74">
            <w:pPr>
              <w:spacing w:after="0" w:line="360" w:lineRule="auto"/>
              <w:jc w:val="center"/>
              <w:rPr>
                <w:rFonts w:ascii="Times New Roman" w:hAnsi="Times New Roman" w:cs="Times New Roman"/>
                <w:b/>
                <w:sz w:val="20"/>
                <w:szCs w:val="20"/>
              </w:rPr>
            </w:pPr>
            <w:r w:rsidRPr="000A4C79">
              <w:rPr>
                <w:rFonts w:ascii="Times New Roman" w:hAnsi="Times New Roman" w:cs="Times New Roman"/>
                <w:b/>
                <w:sz w:val="20"/>
                <w:szCs w:val="20"/>
              </w:rPr>
              <w:t>0.04314097</w:t>
            </w:r>
          </w:p>
        </w:tc>
        <w:tc>
          <w:tcPr>
            <w:tcW w:w="1983" w:type="dxa"/>
            <w:vAlign w:val="center"/>
          </w:tcPr>
          <w:p w:rsidR="00E73F74" w:rsidRPr="000A4C79" w:rsidRDefault="00E73F74" w:rsidP="00E73F74">
            <w:pPr>
              <w:spacing w:after="0" w:line="360" w:lineRule="auto"/>
              <w:jc w:val="center"/>
              <w:rPr>
                <w:rFonts w:ascii="Times New Roman" w:hAnsi="Times New Roman" w:cs="Times New Roman"/>
                <w:b/>
                <w:sz w:val="20"/>
                <w:szCs w:val="20"/>
              </w:rPr>
            </w:pPr>
            <w:r w:rsidRPr="000A4C79">
              <w:rPr>
                <w:rFonts w:ascii="Times New Roman" w:hAnsi="Times New Roman" w:cs="Times New Roman"/>
                <w:b/>
                <w:sz w:val="20"/>
                <w:szCs w:val="20"/>
              </w:rPr>
              <w:t>0.009407497</w:t>
            </w:r>
          </w:p>
        </w:tc>
      </w:tr>
      <w:bookmarkEnd w:id="1"/>
      <w:tr w:rsidR="00E73F74" w:rsidTr="00E73F74">
        <w:trPr>
          <w:trHeight w:val="624"/>
        </w:trPr>
        <w:tc>
          <w:tcPr>
            <w:tcW w:w="3114"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Wygładzanie wykładnicze, alfa = 0.9999</w:t>
            </w:r>
          </w:p>
        </w:tc>
        <w:tc>
          <w:tcPr>
            <w:tcW w:w="1982"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0.06770252</w:t>
            </w:r>
          </w:p>
        </w:tc>
        <w:tc>
          <w:tcPr>
            <w:tcW w:w="1983"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0.05150631</w:t>
            </w:r>
          </w:p>
        </w:tc>
        <w:tc>
          <w:tcPr>
            <w:tcW w:w="1983"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0.011247174</w:t>
            </w:r>
          </w:p>
        </w:tc>
      </w:tr>
      <w:tr w:rsidR="00E73F74" w:rsidTr="00E73F74">
        <w:trPr>
          <w:trHeight w:val="624"/>
        </w:trPr>
        <w:tc>
          <w:tcPr>
            <w:tcW w:w="3114" w:type="dxa"/>
            <w:vAlign w:val="center"/>
          </w:tcPr>
          <w:p w:rsidR="00E73F74" w:rsidRPr="00E73F74" w:rsidRDefault="00E73F74" w:rsidP="00E73F74">
            <w:pPr>
              <w:spacing w:after="0" w:line="360" w:lineRule="auto"/>
              <w:jc w:val="center"/>
              <w:rPr>
                <w:rFonts w:ascii="Times New Roman" w:hAnsi="Times New Roman" w:cs="Times New Roman"/>
                <w:sz w:val="20"/>
                <w:szCs w:val="20"/>
              </w:rPr>
            </w:pPr>
            <w:bookmarkStart w:id="2" w:name="_Hlk108381220"/>
            <w:r w:rsidRPr="00E73F74">
              <w:rPr>
                <w:rFonts w:ascii="Times New Roman" w:hAnsi="Times New Roman" w:cs="Times New Roman"/>
                <w:sz w:val="20"/>
                <w:szCs w:val="20"/>
              </w:rPr>
              <w:t>Model ETS, błąd multiplikatywny, brak trendu i sezonowości</w:t>
            </w:r>
          </w:p>
        </w:tc>
        <w:tc>
          <w:tcPr>
            <w:tcW w:w="1982"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0.06770252</w:t>
            </w:r>
          </w:p>
        </w:tc>
        <w:tc>
          <w:tcPr>
            <w:tcW w:w="1983"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0.05150633</w:t>
            </w:r>
          </w:p>
        </w:tc>
        <w:tc>
          <w:tcPr>
            <w:tcW w:w="1983"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0.011247177</w:t>
            </w:r>
          </w:p>
        </w:tc>
      </w:tr>
      <w:tr w:rsidR="00E73F74" w:rsidTr="00E73F74">
        <w:trPr>
          <w:trHeight w:val="624"/>
        </w:trPr>
        <w:tc>
          <w:tcPr>
            <w:tcW w:w="3114" w:type="dxa"/>
            <w:vAlign w:val="center"/>
          </w:tcPr>
          <w:p w:rsidR="00E73F74" w:rsidRPr="00E73F74" w:rsidRDefault="00E73F74" w:rsidP="00E73F74">
            <w:pPr>
              <w:spacing w:after="0" w:line="360" w:lineRule="auto"/>
              <w:jc w:val="center"/>
              <w:rPr>
                <w:rFonts w:ascii="Times New Roman" w:hAnsi="Times New Roman" w:cs="Times New Roman"/>
                <w:sz w:val="20"/>
                <w:szCs w:val="20"/>
              </w:rPr>
            </w:pPr>
            <w:bookmarkStart w:id="3" w:name="_Hlk108381239"/>
            <w:bookmarkEnd w:id="2"/>
            <w:r w:rsidRPr="00E73F74">
              <w:rPr>
                <w:rFonts w:ascii="Times New Roman" w:hAnsi="Times New Roman" w:cs="Times New Roman"/>
                <w:sz w:val="20"/>
                <w:szCs w:val="20"/>
              </w:rPr>
              <w:t>Model ARIMA(3, 1, 0)</w:t>
            </w:r>
          </w:p>
        </w:tc>
        <w:tc>
          <w:tcPr>
            <w:tcW w:w="1982"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0.07063705</w:t>
            </w:r>
          </w:p>
        </w:tc>
        <w:tc>
          <w:tcPr>
            <w:tcW w:w="1983"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0.05401943</w:t>
            </w:r>
          </w:p>
        </w:tc>
        <w:tc>
          <w:tcPr>
            <w:tcW w:w="1983" w:type="dxa"/>
            <w:vAlign w:val="center"/>
          </w:tcPr>
          <w:p w:rsidR="00E73F74" w:rsidRPr="00E73F74" w:rsidRDefault="00E73F74" w:rsidP="00E73F74">
            <w:pPr>
              <w:spacing w:after="0" w:line="360" w:lineRule="auto"/>
              <w:jc w:val="center"/>
              <w:rPr>
                <w:rFonts w:ascii="Times New Roman" w:hAnsi="Times New Roman" w:cs="Times New Roman"/>
                <w:sz w:val="20"/>
                <w:szCs w:val="20"/>
              </w:rPr>
            </w:pPr>
            <w:r w:rsidRPr="00E73F74">
              <w:rPr>
                <w:rFonts w:ascii="Times New Roman" w:hAnsi="Times New Roman" w:cs="Times New Roman"/>
                <w:sz w:val="20"/>
                <w:szCs w:val="20"/>
              </w:rPr>
              <w:t>0.011786898</w:t>
            </w:r>
          </w:p>
        </w:tc>
      </w:tr>
      <w:bookmarkEnd w:id="3"/>
    </w:tbl>
    <w:p w:rsidR="00E73F74" w:rsidRDefault="00E73F74" w:rsidP="00E73F74">
      <w:pPr>
        <w:spacing w:line="360" w:lineRule="auto"/>
        <w:jc w:val="both"/>
        <w:rPr>
          <w:rFonts w:ascii="Times New Roman" w:hAnsi="Times New Roman" w:cs="Times New Roman"/>
          <w:b/>
          <w:sz w:val="24"/>
          <w:szCs w:val="24"/>
        </w:rPr>
      </w:pPr>
    </w:p>
    <w:p w:rsidR="000A4C79" w:rsidRDefault="002F30EF" w:rsidP="00E73F7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2F30EF">
        <w:rPr>
          <w:rFonts w:ascii="Times New Roman" w:hAnsi="Times New Roman" w:cs="Times New Roman"/>
          <w:sz w:val="24"/>
          <w:szCs w:val="24"/>
        </w:rPr>
        <w:t>Jak widać,</w:t>
      </w:r>
      <w:r>
        <w:rPr>
          <w:rFonts w:ascii="Times New Roman" w:hAnsi="Times New Roman" w:cs="Times New Roman"/>
          <w:sz w:val="24"/>
          <w:szCs w:val="24"/>
        </w:rPr>
        <w:t xml:space="preserve"> najniższe błędy, a tym samym najlepsze oszacowania </w:t>
      </w:r>
      <w:r w:rsidR="00685A4F">
        <w:rPr>
          <w:rFonts w:ascii="Times New Roman" w:hAnsi="Times New Roman" w:cs="Times New Roman"/>
          <w:sz w:val="24"/>
          <w:szCs w:val="24"/>
        </w:rPr>
        <w:t>otrzymano</w:t>
      </w:r>
      <w:r>
        <w:rPr>
          <w:rFonts w:ascii="Times New Roman" w:hAnsi="Times New Roman" w:cs="Times New Roman"/>
          <w:sz w:val="24"/>
          <w:szCs w:val="24"/>
        </w:rPr>
        <w:t xml:space="preserve"> dla średniej ruchomej z szerokością okna 6 okresów.</w:t>
      </w:r>
      <w:r w:rsidR="00A60C42">
        <w:rPr>
          <w:rFonts w:ascii="Times New Roman" w:hAnsi="Times New Roman" w:cs="Times New Roman"/>
          <w:sz w:val="24"/>
          <w:szCs w:val="24"/>
        </w:rPr>
        <w:t xml:space="preserve"> </w:t>
      </w:r>
      <w:r w:rsidR="007C3D6C">
        <w:rPr>
          <w:rFonts w:ascii="Times New Roman" w:hAnsi="Times New Roman" w:cs="Times New Roman"/>
          <w:sz w:val="24"/>
          <w:szCs w:val="24"/>
        </w:rPr>
        <w:t>T</w:t>
      </w:r>
      <w:r w:rsidR="00A60C42">
        <w:rPr>
          <w:rFonts w:ascii="Times New Roman" w:hAnsi="Times New Roman" w:cs="Times New Roman"/>
          <w:sz w:val="24"/>
          <w:szCs w:val="24"/>
        </w:rPr>
        <w:t xml:space="preserve">est </w:t>
      </w:r>
      <w:proofErr w:type="spellStart"/>
      <w:r w:rsidR="00A60C42">
        <w:rPr>
          <w:rFonts w:ascii="Times New Roman" w:hAnsi="Times New Roman" w:cs="Times New Roman"/>
          <w:sz w:val="24"/>
          <w:szCs w:val="24"/>
        </w:rPr>
        <w:t>Diebolda-Mariano</w:t>
      </w:r>
      <w:proofErr w:type="spellEnd"/>
      <w:r w:rsidR="00A60C42">
        <w:rPr>
          <w:rFonts w:ascii="Times New Roman" w:hAnsi="Times New Roman" w:cs="Times New Roman"/>
          <w:sz w:val="24"/>
          <w:szCs w:val="24"/>
        </w:rPr>
        <w:t xml:space="preserve"> wykazał</w:t>
      </w:r>
      <w:r w:rsidR="007C3D6C">
        <w:rPr>
          <w:rFonts w:ascii="Times New Roman" w:hAnsi="Times New Roman" w:cs="Times New Roman"/>
          <w:sz w:val="24"/>
          <w:szCs w:val="24"/>
        </w:rPr>
        <w:t xml:space="preserve"> jednak</w:t>
      </w:r>
      <w:r w:rsidR="00A60C42">
        <w:rPr>
          <w:rFonts w:ascii="Times New Roman" w:hAnsi="Times New Roman" w:cs="Times New Roman"/>
          <w:sz w:val="24"/>
          <w:szCs w:val="24"/>
        </w:rPr>
        <w:t xml:space="preserve"> brak podstaw do odrzucenia hipotezy zerowej o jednakowej trafności prognozy naiwnej, będącej częstym benchmarkiem dla prognozowania kursu walutowego oraz prognozy średniej ruchomej. </w:t>
      </w:r>
      <w:r w:rsidR="003E6656">
        <w:rPr>
          <w:rFonts w:ascii="Times New Roman" w:hAnsi="Times New Roman" w:cs="Times New Roman"/>
          <w:sz w:val="24"/>
          <w:szCs w:val="24"/>
        </w:rPr>
        <w:t xml:space="preserve">Co więcej, test </w:t>
      </w:r>
      <w:proofErr w:type="spellStart"/>
      <w:r w:rsidR="003E6656">
        <w:rPr>
          <w:rFonts w:ascii="Times New Roman" w:hAnsi="Times New Roman" w:cs="Times New Roman"/>
          <w:sz w:val="24"/>
          <w:szCs w:val="24"/>
        </w:rPr>
        <w:t>Diebolda-Mariano</w:t>
      </w:r>
      <w:proofErr w:type="spellEnd"/>
      <w:r w:rsidR="003E6656">
        <w:rPr>
          <w:rFonts w:ascii="Times New Roman" w:hAnsi="Times New Roman" w:cs="Times New Roman"/>
          <w:sz w:val="24"/>
          <w:szCs w:val="24"/>
        </w:rPr>
        <w:t xml:space="preserve"> wskazał także na brak podstaw do odrzucenia hipotezy zerowej o jednakowej trafności modelu średniej ruchomej i modelu ARIMA(3, 1, 0), dla którego uzyskano najgorsze prognozy wśród wszystkich szacowanych modeli. Oznacza to, że chociaż na zadanej próbie prognoza średniej ruchomej dała najlepsze wyniki, nie są one statystycznie istotnie różne od pozostałych analizowanych metod. </w:t>
      </w:r>
    </w:p>
    <w:p w:rsidR="00BA5487" w:rsidRDefault="00BA5487" w:rsidP="00E73F74">
      <w:pPr>
        <w:spacing w:line="360" w:lineRule="auto"/>
        <w:jc w:val="both"/>
        <w:rPr>
          <w:rFonts w:ascii="Times New Roman" w:hAnsi="Times New Roman" w:cs="Times New Roman"/>
          <w:sz w:val="24"/>
          <w:szCs w:val="24"/>
        </w:rPr>
      </w:pPr>
      <w:r>
        <w:rPr>
          <w:rFonts w:ascii="Times New Roman" w:hAnsi="Times New Roman" w:cs="Times New Roman"/>
          <w:sz w:val="24"/>
          <w:szCs w:val="24"/>
        </w:rPr>
        <w:tab/>
        <w:t>Warto tutaj zwrócić uwagę</w:t>
      </w:r>
      <w:r w:rsidR="0062686E">
        <w:rPr>
          <w:rFonts w:ascii="Times New Roman" w:hAnsi="Times New Roman" w:cs="Times New Roman"/>
          <w:sz w:val="24"/>
          <w:szCs w:val="24"/>
        </w:rPr>
        <w:t xml:space="preserve"> na następujący problem: </w:t>
      </w:r>
      <w:r w:rsidR="007C3D6C">
        <w:rPr>
          <w:rFonts w:ascii="Times New Roman" w:hAnsi="Times New Roman" w:cs="Times New Roman"/>
          <w:sz w:val="24"/>
          <w:szCs w:val="24"/>
        </w:rPr>
        <w:t>próba, na której były optymalizowane parametry poszczególne metod</w:t>
      </w:r>
      <w:r w:rsidR="00B577BA">
        <w:rPr>
          <w:rFonts w:ascii="Times New Roman" w:hAnsi="Times New Roman" w:cs="Times New Roman"/>
          <w:sz w:val="24"/>
          <w:szCs w:val="24"/>
        </w:rPr>
        <w:t>y</w:t>
      </w:r>
      <w:r w:rsidR="007C3D6C">
        <w:rPr>
          <w:rFonts w:ascii="Times New Roman" w:hAnsi="Times New Roman" w:cs="Times New Roman"/>
          <w:sz w:val="24"/>
          <w:szCs w:val="24"/>
        </w:rPr>
        <w:t xml:space="preserve">, zawierała ponad 100 obserwacji (w zależności </w:t>
      </w:r>
      <w:r w:rsidR="0062686E">
        <w:rPr>
          <w:rFonts w:ascii="Times New Roman" w:hAnsi="Times New Roman" w:cs="Times New Roman"/>
          <w:sz w:val="24"/>
          <w:szCs w:val="24"/>
        </w:rPr>
        <w:t xml:space="preserve">od </w:t>
      </w:r>
      <w:r w:rsidR="007C3D6C">
        <w:rPr>
          <w:rFonts w:ascii="Times New Roman" w:hAnsi="Times New Roman" w:cs="Times New Roman"/>
          <w:sz w:val="24"/>
          <w:szCs w:val="24"/>
        </w:rPr>
        <w:t xml:space="preserve">metody okno estymacji mogło ulegać zmianie). Natomiast próba, dla której liczono błędy miała 24 obserwacji w okresie, </w:t>
      </w:r>
      <w:r w:rsidR="0062686E">
        <w:rPr>
          <w:rFonts w:ascii="Times New Roman" w:hAnsi="Times New Roman" w:cs="Times New Roman"/>
          <w:sz w:val="24"/>
          <w:szCs w:val="24"/>
        </w:rPr>
        <w:t>w którym</w:t>
      </w:r>
      <w:r w:rsidR="007C3D6C">
        <w:rPr>
          <w:rFonts w:ascii="Times New Roman" w:hAnsi="Times New Roman" w:cs="Times New Roman"/>
          <w:sz w:val="24"/>
          <w:szCs w:val="24"/>
        </w:rPr>
        <w:t xml:space="preserve"> kurs wykazywał</w:t>
      </w:r>
      <w:r w:rsidR="0062686E">
        <w:rPr>
          <w:rFonts w:ascii="Times New Roman" w:hAnsi="Times New Roman" w:cs="Times New Roman"/>
          <w:sz w:val="24"/>
          <w:szCs w:val="24"/>
        </w:rPr>
        <w:t xml:space="preserve"> zdecydowanie</w:t>
      </w:r>
      <w:r w:rsidR="007C3D6C">
        <w:rPr>
          <w:rFonts w:ascii="Times New Roman" w:hAnsi="Times New Roman" w:cs="Times New Roman"/>
          <w:sz w:val="24"/>
          <w:szCs w:val="24"/>
        </w:rPr>
        <w:t xml:space="preserve"> trend rosnący, a tym samym nie przypominał błądzenia przypadkowego</w:t>
      </w:r>
      <w:r w:rsidR="009D5E18">
        <w:rPr>
          <w:rFonts w:ascii="Times New Roman" w:hAnsi="Times New Roman" w:cs="Times New Roman"/>
          <w:sz w:val="24"/>
          <w:szCs w:val="24"/>
        </w:rPr>
        <w:t xml:space="preserve"> bez dryfu</w:t>
      </w:r>
      <w:r w:rsidR="007C3D6C">
        <w:rPr>
          <w:rFonts w:ascii="Times New Roman" w:hAnsi="Times New Roman" w:cs="Times New Roman"/>
          <w:sz w:val="24"/>
          <w:szCs w:val="24"/>
        </w:rPr>
        <w:t>, które dobrze modelowało zachowanie w pozostałej próbie. Prawdopodobnie to spowodowało, że najlepsze wyniki uzyskano za pomocą średniej ruchomej, która w większym stopniu brała pod uwagę trend rosnący</w:t>
      </w:r>
      <w:r w:rsidR="0062686E">
        <w:rPr>
          <w:rFonts w:ascii="Times New Roman" w:hAnsi="Times New Roman" w:cs="Times New Roman"/>
          <w:sz w:val="24"/>
          <w:szCs w:val="24"/>
        </w:rPr>
        <w:t xml:space="preserve"> w ostatnich okresach.</w:t>
      </w:r>
      <w:r w:rsidR="007C3D6C">
        <w:rPr>
          <w:rFonts w:ascii="Times New Roman" w:hAnsi="Times New Roman" w:cs="Times New Roman"/>
          <w:sz w:val="24"/>
          <w:szCs w:val="24"/>
        </w:rPr>
        <w:t xml:space="preserve"> </w:t>
      </w:r>
      <w:r w:rsidR="0062686E">
        <w:rPr>
          <w:rFonts w:ascii="Times New Roman" w:hAnsi="Times New Roman" w:cs="Times New Roman"/>
          <w:sz w:val="24"/>
          <w:szCs w:val="24"/>
        </w:rPr>
        <w:t xml:space="preserve">W dalszych analizach warto wziąć pod uwagę różne okna próby, na której optymalizowane są parametry modelu i/lub większe okno walidacji – w zależności od dostępnych danych. </w:t>
      </w:r>
    </w:p>
    <w:p w:rsidR="00232FE7" w:rsidRDefault="009D5E18" w:rsidP="00BD08E1">
      <w:pPr>
        <w:spacing w:line="360" w:lineRule="auto"/>
        <w:jc w:val="both"/>
        <w:rPr>
          <w:rFonts w:ascii="Times New Roman" w:hAnsi="Times New Roman" w:cs="Times New Roman"/>
          <w:sz w:val="24"/>
          <w:szCs w:val="24"/>
        </w:rPr>
      </w:pPr>
      <w:r>
        <w:rPr>
          <w:rFonts w:ascii="Times New Roman" w:hAnsi="Times New Roman" w:cs="Times New Roman"/>
          <w:sz w:val="24"/>
          <w:szCs w:val="24"/>
        </w:rPr>
        <w:tab/>
        <w:t>Mimo wszystko można powiedzieć, że wszystkie zaprezentowane metody spisały się dosyć dobrze. We wszystkich przypadkach błędy MAPE wyniosły około 1%, co oznacza, że z ich pomocą możemy</w:t>
      </w:r>
      <w:r w:rsidR="00232FE7">
        <w:rPr>
          <w:rFonts w:ascii="Times New Roman" w:hAnsi="Times New Roman" w:cs="Times New Roman"/>
          <w:sz w:val="24"/>
          <w:szCs w:val="24"/>
        </w:rPr>
        <w:t xml:space="preserve"> względnie</w:t>
      </w:r>
      <w:r>
        <w:rPr>
          <w:rFonts w:ascii="Times New Roman" w:hAnsi="Times New Roman" w:cs="Times New Roman"/>
          <w:sz w:val="24"/>
          <w:szCs w:val="24"/>
        </w:rPr>
        <w:t xml:space="preserve"> trafnie prognozować</w:t>
      </w:r>
      <w:r w:rsidR="00232FE7">
        <w:rPr>
          <w:rFonts w:ascii="Times New Roman" w:hAnsi="Times New Roman" w:cs="Times New Roman"/>
          <w:sz w:val="24"/>
          <w:szCs w:val="24"/>
        </w:rPr>
        <w:t xml:space="preserve"> średni</w:t>
      </w:r>
      <w:r>
        <w:rPr>
          <w:rFonts w:ascii="Times New Roman" w:hAnsi="Times New Roman" w:cs="Times New Roman"/>
          <w:sz w:val="24"/>
          <w:szCs w:val="24"/>
        </w:rPr>
        <w:t xml:space="preserve"> kurs walutowy </w:t>
      </w:r>
      <w:r w:rsidR="00232FE7">
        <w:rPr>
          <w:rFonts w:ascii="Times New Roman" w:hAnsi="Times New Roman" w:cs="Times New Roman"/>
          <w:sz w:val="24"/>
          <w:szCs w:val="24"/>
        </w:rPr>
        <w:t xml:space="preserve">w przyszłym </w:t>
      </w:r>
      <w:r w:rsidR="00232FE7">
        <w:rPr>
          <w:rFonts w:ascii="Times New Roman" w:hAnsi="Times New Roman" w:cs="Times New Roman"/>
          <w:sz w:val="24"/>
          <w:szCs w:val="24"/>
        </w:rPr>
        <w:lastRenderedPageBreak/>
        <w:t>miesiącu. Oczywiście, modele te mają również swoje ograniczenia – prognozowany jest jedynie średni miesięczny kurs, a nie jego codzienne zmiany, które mogą być bardziej interesuj</w:t>
      </w:r>
      <w:r w:rsidR="001F01F2">
        <w:rPr>
          <w:rFonts w:ascii="Times New Roman" w:hAnsi="Times New Roman" w:cs="Times New Roman"/>
          <w:sz w:val="24"/>
          <w:szCs w:val="24"/>
        </w:rPr>
        <w:t>ące</w:t>
      </w:r>
      <w:r w:rsidR="00232FE7">
        <w:rPr>
          <w:rFonts w:ascii="Times New Roman" w:hAnsi="Times New Roman" w:cs="Times New Roman"/>
          <w:sz w:val="24"/>
          <w:szCs w:val="24"/>
        </w:rPr>
        <w:t xml:space="preserve"> dla większej części odbiorców. </w:t>
      </w:r>
    </w:p>
    <w:p w:rsidR="00232FE7" w:rsidRDefault="00232FE7" w:rsidP="00BD08E1">
      <w:pPr>
        <w:spacing w:line="360" w:lineRule="auto"/>
        <w:jc w:val="both"/>
        <w:rPr>
          <w:rFonts w:ascii="Times New Roman" w:hAnsi="Times New Roman" w:cs="Times New Roman"/>
          <w:b/>
          <w:sz w:val="24"/>
          <w:szCs w:val="24"/>
        </w:rPr>
      </w:pPr>
    </w:p>
    <w:p w:rsidR="00BD08E1" w:rsidRPr="009D5E18" w:rsidRDefault="00BD08E1" w:rsidP="00BD08E1">
      <w:pPr>
        <w:spacing w:line="360" w:lineRule="auto"/>
        <w:jc w:val="both"/>
        <w:rPr>
          <w:rFonts w:ascii="Times New Roman" w:hAnsi="Times New Roman" w:cs="Times New Roman"/>
          <w:sz w:val="24"/>
          <w:szCs w:val="24"/>
        </w:rPr>
      </w:pPr>
      <w:r>
        <w:rPr>
          <w:rFonts w:ascii="Times New Roman" w:hAnsi="Times New Roman" w:cs="Times New Roman"/>
          <w:b/>
          <w:sz w:val="24"/>
          <w:szCs w:val="24"/>
        </w:rPr>
        <w:t>Bibliografia</w:t>
      </w:r>
    </w:p>
    <w:p w:rsidR="00BD08E1" w:rsidRPr="001F01F2" w:rsidRDefault="00BD08E1" w:rsidP="00285F2A">
      <w:pPr>
        <w:spacing w:line="360" w:lineRule="auto"/>
        <w:ind w:left="720" w:hanging="720"/>
        <w:jc w:val="both"/>
        <w:rPr>
          <w:rFonts w:ascii="Times New Roman" w:hAnsi="Times New Roman" w:cs="Times New Roman"/>
          <w:sz w:val="24"/>
          <w:szCs w:val="24"/>
          <w:lang w:val="en-US"/>
        </w:rPr>
      </w:pPr>
      <w:proofErr w:type="spellStart"/>
      <w:r w:rsidRPr="001F01F2">
        <w:rPr>
          <w:rFonts w:ascii="Times New Roman" w:hAnsi="Times New Roman" w:cs="Times New Roman"/>
          <w:sz w:val="24"/>
          <w:szCs w:val="24"/>
        </w:rPr>
        <w:t>Aykan</w:t>
      </w:r>
      <w:proofErr w:type="spellEnd"/>
      <w:r w:rsidRPr="001F01F2">
        <w:rPr>
          <w:rFonts w:ascii="Times New Roman" w:hAnsi="Times New Roman" w:cs="Times New Roman"/>
          <w:sz w:val="24"/>
          <w:szCs w:val="24"/>
        </w:rPr>
        <w:t xml:space="preserve">, A., </w:t>
      </w:r>
      <w:proofErr w:type="spellStart"/>
      <w:r w:rsidRPr="001F01F2">
        <w:rPr>
          <w:rFonts w:ascii="Times New Roman" w:hAnsi="Times New Roman" w:cs="Times New Roman"/>
          <w:sz w:val="24"/>
          <w:szCs w:val="24"/>
        </w:rPr>
        <w:t>Temiz</w:t>
      </w:r>
      <w:proofErr w:type="spellEnd"/>
      <w:r w:rsidRPr="001F01F2">
        <w:rPr>
          <w:rFonts w:ascii="Times New Roman" w:hAnsi="Times New Roman" w:cs="Times New Roman"/>
          <w:sz w:val="24"/>
          <w:szCs w:val="24"/>
        </w:rPr>
        <w:t xml:space="preserve">, I. &amp; </w:t>
      </w:r>
      <w:proofErr w:type="spellStart"/>
      <w:r w:rsidRPr="001F01F2">
        <w:rPr>
          <w:rFonts w:ascii="Times New Roman" w:hAnsi="Times New Roman" w:cs="Times New Roman"/>
          <w:sz w:val="24"/>
          <w:szCs w:val="24"/>
        </w:rPr>
        <w:t>Sahin</w:t>
      </w:r>
      <w:proofErr w:type="spellEnd"/>
      <w:r w:rsidRPr="001F01F2">
        <w:rPr>
          <w:rFonts w:ascii="Times New Roman" w:hAnsi="Times New Roman" w:cs="Times New Roman"/>
          <w:sz w:val="24"/>
          <w:szCs w:val="24"/>
        </w:rPr>
        <w:t xml:space="preserve">, E. (2011). </w:t>
      </w:r>
      <w:r w:rsidRPr="001F01F2">
        <w:rPr>
          <w:rFonts w:ascii="Times New Roman" w:hAnsi="Times New Roman" w:cs="Times New Roman"/>
          <w:sz w:val="24"/>
          <w:szCs w:val="24"/>
          <w:lang w:val="en-US"/>
        </w:rPr>
        <w:t xml:space="preserve">An Application Of Exchange Rates Forecasting In Turkey. </w:t>
      </w:r>
      <w:r w:rsidRPr="001F01F2">
        <w:rPr>
          <w:rFonts w:ascii="Times New Roman" w:hAnsi="Times New Roman" w:cs="Times New Roman"/>
          <w:i/>
          <w:sz w:val="24"/>
          <w:szCs w:val="24"/>
          <w:lang w:val="en-US"/>
        </w:rPr>
        <w:t>Gazi University Journal of Science</w:t>
      </w:r>
      <w:r w:rsidRPr="001F01F2">
        <w:rPr>
          <w:rFonts w:ascii="Times New Roman" w:hAnsi="Times New Roman" w:cs="Times New Roman"/>
          <w:sz w:val="24"/>
          <w:szCs w:val="24"/>
          <w:lang w:val="en-US"/>
        </w:rPr>
        <w:t>. 24: 817-828.</w:t>
      </w:r>
    </w:p>
    <w:p w:rsidR="00587D2D" w:rsidRPr="001F01F2" w:rsidRDefault="00587D2D" w:rsidP="00285F2A">
      <w:pPr>
        <w:spacing w:line="360" w:lineRule="auto"/>
        <w:ind w:left="720" w:hanging="720"/>
        <w:jc w:val="both"/>
        <w:rPr>
          <w:rFonts w:ascii="Times New Roman" w:hAnsi="Times New Roman" w:cs="Times New Roman"/>
          <w:color w:val="000000"/>
          <w:sz w:val="24"/>
          <w:szCs w:val="24"/>
          <w:shd w:val="clear" w:color="auto" w:fill="FFFFFF"/>
          <w:lang w:val="en-US"/>
        </w:rPr>
      </w:pPr>
      <w:r w:rsidRPr="001F01F2">
        <w:rPr>
          <w:rFonts w:ascii="Times New Roman" w:hAnsi="Times New Roman" w:cs="Times New Roman"/>
          <w:color w:val="000000"/>
          <w:sz w:val="24"/>
          <w:szCs w:val="24"/>
          <w:shd w:val="clear" w:color="auto" w:fill="FFFFFF"/>
          <w:lang w:val="en-US"/>
        </w:rPr>
        <w:t>Rossi, B. (2013). </w:t>
      </w:r>
      <w:r w:rsidRPr="001F01F2">
        <w:rPr>
          <w:rFonts w:ascii="Times New Roman" w:hAnsi="Times New Roman" w:cs="Times New Roman"/>
          <w:i/>
          <w:iCs/>
          <w:color w:val="000000"/>
          <w:sz w:val="24"/>
          <w:szCs w:val="24"/>
          <w:shd w:val="clear" w:color="auto" w:fill="FFFFFF"/>
          <w:lang w:val="en-US"/>
        </w:rPr>
        <w:t>Exchange Rate Predictability. Journal of Economic Literature, 51(4)</w:t>
      </w:r>
      <w:r w:rsidR="00755499" w:rsidRPr="001F01F2">
        <w:rPr>
          <w:rFonts w:ascii="Times New Roman" w:hAnsi="Times New Roman" w:cs="Times New Roman"/>
          <w:i/>
          <w:iCs/>
          <w:color w:val="000000"/>
          <w:sz w:val="24"/>
          <w:szCs w:val="24"/>
          <w:shd w:val="clear" w:color="auto" w:fill="FFFFFF"/>
          <w:lang w:val="en-US"/>
        </w:rPr>
        <w:t xml:space="preserve">: </w:t>
      </w:r>
      <w:r w:rsidRPr="001F01F2">
        <w:rPr>
          <w:rFonts w:ascii="Times New Roman" w:hAnsi="Times New Roman" w:cs="Times New Roman"/>
          <w:i/>
          <w:iCs/>
          <w:color w:val="000000"/>
          <w:sz w:val="24"/>
          <w:szCs w:val="24"/>
          <w:shd w:val="clear" w:color="auto" w:fill="FFFFFF"/>
          <w:lang w:val="en-US"/>
        </w:rPr>
        <w:t>1063–1119.</w:t>
      </w:r>
      <w:r w:rsidRPr="001F01F2">
        <w:rPr>
          <w:rFonts w:ascii="Times New Roman" w:hAnsi="Times New Roman" w:cs="Times New Roman"/>
          <w:color w:val="000000"/>
          <w:sz w:val="24"/>
          <w:szCs w:val="24"/>
          <w:shd w:val="clear" w:color="auto" w:fill="FFFFFF"/>
          <w:lang w:val="en-US"/>
        </w:rPr>
        <w:t> </w:t>
      </w:r>
    </w:p>
    <w:p w:rsidR="005F6402" w:rsidRPr="001F01F2" w:rsidRDefault="005F6402" w:rsidP="00285F2A">
      <w:pPr>
        <w:spacing w:line="360" w:lineRule="auto"/>
        <w:ind w:left="720" w:hanging="720"/>
        <w:jc w:val="both"/>
        <w:rPr>
          <w:rFonts w:ascii="Times New Roman" w:hAnsi="Times New Roman" w:cs="Times New Roman"/>
          <w:sz w:val="24"/>
          <w:szCs w:val="24"/>
          <w:lang w:val="en-US"/>
        </w:rPr>
      </w:pPr>
      <w:r w:rsidRPr="001F01F2">
        <w:rPr>
          <w:rFonts w:ascii="Times New Roman" w:hAnsi="Times New Roman" w:cs="Times New Roman"/>
          <w:sz w:val="24"/>
          <w:szCs w:val="24"/>
          <w:lang w:val="en-US"/>
        </w:rPr>
        <w:t xml:space="preserve">Meese R. A., Rogoff K., </w:t>
      </w:r>
      <w:r w:rsidR="00755499" w:rsidRPr="001F01F2">
        <w:rPr>
          <w:rFonts w:ascii="Times New Roman" w:hAnsi="Times New Roman" w:cs="Times New Roman"/>
          <w:sz w:val="24"/>
          <w:szCs w:val="24"/>
          <w:lang w:val="en-US"/>
        </w:rPr>
        <w:t>(</w:t>
      </w:r>
      <w:r w:rsidRPr="001F01F2">
        <w:rPr>
          <w:rFonts w:ascii="Times New Roman" w:hAnsi="Times New Roman" w:cs="Times New Roman"/>
          <w:sz w:val="24"/>
          <w:szCs w:val="24"/>
          <w:lang w:val="en-US"/>
        </w:rPr>
        <w:t>1983</w:t>
      </w:r>
      <w:r w:rsidR="00755499" w:rsidRPr="001F01F2">
        <w:rPr>
          <w:rFonts w:ascii="Times New Roman" w:hAnsi="Times New Roman" w:cs="Times New Roman"/>
          <w:sz w:val="24"/>
          <w:szCs w:val="24"/>
          <w:lang w:val="en-US"/>
        </w:rPr>
        <w:t>)</w:t>
      </w:r>
      <w:r w:rsidRPr="001F01F2">
        <w:rPr>
          <w:rFonts w:ascii="Times New Roman" w:hAnsi="Times New Roman" w:cs="Times New Roman"/>
          <w:sz w:val="24"/>
          <w:szCs w:val="24"/>
          <w:lang w:val="en-US"/>
        </w:rPr>
        <w:t xml:space="preserve">. Empirical exchange rate models of the seventies: Do they fit out of sample? </w:t>
      </w:r>
      <w:r w:rsidRPr="001F01F2">
        <w:rPr>
          <w:rFonts w:ascii="Times New Roman" w:hAnsi="Times New Roman" w:cs="Times New Roman"/>
          <w:i/>
          <w:sz w:val="24"/>
          <w:szCs w:val="24"/>
          <w:lang w:val="en-US"/>
        </w:rPr>
        <w:t>Journal of International Economics</w:t>
      </w:r>
      <w:r w:rsidRPr="001F01F2">
        <w:rPr>
          <w:rFonts w:ascii="Times New Roman" w:hAnsi="Times New Roman" w:cs="Times New Roman"/>
          <w:sz w:val="24"/>
          <w:szCs w:val="24"/>
          <w:lang w:val="en-US"/>
        </w:rPr>
        <w:t>, 14 (1-2)</w:t>
      </w:r>
      <w:r w:rsidR="00755499" w:rsidRPr="001F01F2">
        <w:rPr>
          <w:rFonts w:ascii="Times New Roman" w:hAnsi="Times New Roman" w:cs="Times New Roman"/>
          <w:sz w:val="24"/>
          <w:szCs w:val="24"/>
          <w:lang w:val="en-US"/>
        </w:rPr>
        <w:t xml:space="preserve">: </w:t>
      </w:r>
      <w:r w:rsidRPr="001F01F2">
        <w:rPr>
          <w:rFonts w:ascii="Times New Roman" w:hAnsi="Times New Roman" w:cs="Times New Roman"/>
          <w:sz w:val="24"/>
          <w:szCs w:val="24"/>
          <w:lang w:val="en-US"/>
        </w:rPr>
        <w:t>3-24.</w:t>
      </w:r>
    </w:p>
    <w:p w:rsidR="00112693" w:rsidRPr="001F01F2" w:rsidRDefault="00112693" w:rsidP="00285F2A">
      <w:pPr>
        <w:spacing w:line="360" w:lineRule="auto"/>
        <w:ind w:left="720" w:hanging="720"/>
        <w:jc w:val="both"/>
        <w:rPr>
          <w:rFonts w:ascii="Times New Roman" w:hAnsi="Times New Roman" w:cs="Times New Roman"/>
          <w:sz w:val="24"/>
          <w:szCs w:val="24"/>
          <w:lang w:val="en-US"/>
        </w:rPr>
      </w:pPr>
      <w:proofErr w:type="spellStart"/>
      <w:r w:rsidRPr="001F01F2">
        <w:rPr>
          <w:rFonts w:ascii="Times New Roman" w:hAnsi="Times New Roman" w:cs="Times New Roman"/>
          <w:sz w:val="24"/>
          <w:szCs w:val="24"/>
          <w:lang w:val="en-US"/>
        </w:rPr>
        <w:t>Făt</w:t>
      </w:r>
      <w:proofErr w:type="spellEnd"/>
      <w:r w:rsidRPr="001F01F2">
        <w:rPr>
          <w:rFonts w:ascii="Times New Roman" w:hAnsi="Times New Roman" w:cs="Times New Roman"/>
          <w:sz w:val="24"/>
          <w:szCs w:val="24"/>
          <w:lang w:val="en-US"/>
        </w:rPr>
        <w:t xml:space="preserve"> C. M., </w:t>
      </w:r>
      <w:proofErr w:type="spellStart"/>
      <w:r w:rsidRPr="001F01F2">
        <w:rPr>
          <w:rFonts w:ascii="Times New Roman" w:hAnsi="Times New Roman" w:cs="Times New Roman"/>
          <w:sz w:val="24"/>
          <w:szCs w:val="24"/>
          <w:lang w:val="en-US"/>
        </w:rPr>
        <w:t>Dezsi</w:t>
      </w:r>
      <w:proofErr w:type="spellEnd"/>
      <w:r w:rsidRPr="001F01F2">
        <w:rPr>
          <w:rFonts w:ascii="Times New Roman" w:hAnsi="Times New Roman" w:cs="Times New Roman"/>
          <w:sz w:val="24"/>
          <w:szCs w:val="24"/>
          <w:lang w:val="en-US"/>
        </w:rPr>
        <w:t xml:space="preserve"> E. (2011)</w:t>
      </w:r>
      <w:r w:rsidR="00755499" w:rsidRPr="001F01F2">
        <w:rPr>
          <w:rFonts w:ascii="Times New Roman" w:hAnsi="Times New Roman" w:cs="Times New Roman"/>
          <w:sz w:val="24"/>
          <w:szCs w:val="24"/>
          <w:lang w:val="en-US"/>
        </w:rPr>
        <w:t>.</w:t>
      </w:r>
      <w:r w:rsidRPr="001F01F2">
        <w:rPr>
          <w:rFonts w:ascii="Times New Roman" w:hAnsi="Times New Roman" w:cs="Times New Roman"/>
          <w:sz w:val="24"/>
          <w:szCs w:val="24"/>
          <w:lang w:val="en-US"/>
        </w:rPr>
        <w:t xml:space="preserve"> Exchange-Rates Forecasting: Exponential smoothing techniques and ARIMA models, Annals of the University of Oradea, Economic Science Series 20(1)</w:t>
      </w:r>
      <w:r w:rsidR="001F01F2">
        <w:rPr>
          <w:rFonts w:ascii="Times New Roman" w:hAnsi="Times New Roman" w:cs="Times New Roman"/>
          <w:sz w:val="24"/>
          <w:szCs w:val="24"/>
          <w:lang w:val="en-US"/>
        </w:rPr>
        <w:t>.</w:t>
      </w:r>
    </w:p>
    <w:p w:rsidR="00112693" w:rsidRPr="001F01F2" w:rsidRDefault="00112693" w:rsidP="00285F2A">
      <w:pPr>
        <w:spacing w:line="360" w:lineRule="auto"/>
        <w:ind w:left="720" w:hanging="720"/>
        <w:jc w:val="both"/>
        <w:rPr>
          <w:rFonts w:ascii="Times New Roman" w:hAnsi="Times New Roman" w:cs="Times New Roman"/>
          <w:sz w:val="24"/>
          <w:szCs w:val="24"/>
          <w:lang w:val="en-US"/>
        </w:rPr>
      </w:pPr>
      <w:r w:rsidRPr="001F01F2">
        <w:rPr>
          <w:rFonts w:ascii="Times New Roman" w:hAnsi="Times New Roman" w:cs="Times New Roman"/>
          <w:sz w:val="24"/>
          <w:szCs w:val="24"/>
        </w:rPr>
        <w:t xml:space="preserve">Halicka, K., Winkowski, C. </w:t>
      </w:r>
      <w:r w:rsidR="00755499" w:rsidRPr="001F01F2">
        <w:rPr>
          <w:rFonts w:ascii="Times New Roman" w:hAnsi="Times New Roman" w:cs="Times New Roman"/>
          <w:sz w:val="24"/>
          <w:szCs w:val="24"/>
        </w:rPr>
        <w:t xml:space="preserve">(2013). Wykorzystanie metod wygładzania wykładniczego do prognozowania kursu sprzedaży EUR. </w:t>
      </w:r>
      <w:r w:rsidR="00755499" w:rsidRPr="001F01F2">
        <w:rPr>
          <w:rFonts w:ascii="Times New Roman" w:hAnsi="Times New Roman" w:cs="Times New Roman"/>
          <w:i/>
          <w:sz w:val="24"/>
          <w:szCs w:val="24"/>
          <w:lang w:val="en-US"/>
        </w:rPr>
        <w:t>Economics and Management</w:t>
      </w:r>
      <w:r w:rsidR="00755499" w:rsidRPr="001F01F2">
        <w:rPr>
          <w:rFonts w:ascii="Times New Roman" w:hAnsi="Times New Roman" w:cs="Times New Roman"/>
          <w:sz w:val="24"/>
          <w:szCs w:val="24"/>
          <w:lang w:val="en-US"/>
        </w:rPr>
        <w:t xml:space="preserve"> 2: 70-80.</w:t>
      </w:r>
    </w:p>
    <w:p w:rsidR="00585D32" w:rsidRPr="001F01F2" w:rsidRDefault="00585D32" w:rsidP="00285F2A">
      <w:pPr>
        <w:spacing w:line="360" w:lineRule="auto"/>
        <w:ind w:left="720" w:hanging="720"/>
        <w:jc w:val="both"/>
        <w:rPr>
          <w:rFonts w:ascii="Times New Roman" w:hAnsi="Times New Roman" w:cs="Times New Roman"/>
          <w:sz w:val="24"/>
          <w:szCs w:val="24"/>
          <w:lang w:val="en-US"/>
        </w:rPr>
      </w:pPr>
      <w:r w:rsidRPr="001F01F2">
        <w:rPr>
          <w:rFonts w:ascii="Times New Roman" w:hAnsi="Times New Roman" w:cs="Times New Roman"/>
          <w:sz w:val="24"/>
          <w:szCs w:val="24"/>
          <w:lang w:val="en-US"/>
        </w:rPr>
        <w:t xml:space="preserve">Ramzan, S., Zahid, F.M. (2012). </w:t>
      </w:r>
      <w:r w:rsidRPr="001F01F2">
        <w:rPr>
          <w:rFonts w:ascii="Times New Roman" w:hAnsi="Times New Roman" w:cs="Times New Roman"/>
          <w:i/>
          <w:sz w:val="24"/>
          <w:szCs w:val="24"/>
          <w:lang w:val="en-US"/>
        </w:rPr>
        <w:t>Electron. J. App. Stat. Anal.</w:t>
      </w:r>
      <w:r w:rsidRPr="001F01F2">
        <w:rPr>
          <w:rFonts w:ascii="Times New Roman" w:hAnsi="Times New Roman" w:cs="Times New Roman"/>
          <w:sz w:val="24"/>
          <w:szCs w:val="24"/>
          <w:lang w:val="en-US"/>
        </w:rPr>
        <w:t xml:space="preserve"> 5(1): 15 – 29.</w:t>
      </w:r>
    </w:p>
    <w:p w:rsidR="00A85766" w:rsidRPr="001F01F2" w:rsidRDefault="00A85766" w:rsidP="00285F2A">
      <w:pPr>
        <w:spacing w:line="360" w:lineRule="auto"/>
        <w:ind w:left="720" w:hanging="720"/>
        <w:jc w:val="both"/>
        <w:rPr>
          <w:rFonts w:ascii="Times New Roman" w:hAnsi="Times New Roman" w:cs="Times New Roman"/>
          <w:i/>
          <w:iCs/>
          <w:color w:val="000000"/>
          <w:sz w:val="24"/>
          <w:szCs w:val="24"/>
          <w:shd w:val="clear" w:color="auto" w:fill="FFFFFF"/>
          <w:lang w:val="en-US"/>
        </w:rPr>
      </w:pPr>
      <w:r w:rsidRPr="001F01F2">
        <w:rPr>
          <w:rFonts w:ascii="Times New Roman" w:hAnsi="Times New Roman" w:cs="Times New Roman"/>
          <w:color w:val="000000"/>
          <w:sz w:val="24"/>
          <w:szCs w:val="24"/>
          <w:shd w:val="clear" w:color="auto" w:fill="FFFFFF"/>
          <w:lang w:val="en-US"/>
        </w:rPr>
        <w:t>Sun, S., Wang, S., &amp; Wei, Y. (2020). </w:t>
      </w:r>
      <w:r w:rsidRPr="001F01F2">
        <w:rPr>
          <w:rFonts w:ascii="Times New Roman" w:hAnsi="Times New Roman" w:cs="Times New Roman"/>
          <w:i/>
          <w:iCs/>
          <w:color w:val="000000"/>
          <w:sz w:val="24"/>
          <w:szCs w:val="24"/>
          <w:shd w:val="clear" w:color="auto" w:fill="FFFFFF"/>
          <w:lang w:val="en-US"/>
        </w:rPr>
        <w:t>A new ensemble deep learning approach for exchange rates forecasting and trading. Advanced Engineering Informatics, 46, 101160.</w:t>
      </w:r>
    </w:p>
    <w:p w:rsidR="009A4E1E" w:rsidRPr="009A4E1E" w:rsidRDefault="008F4427" w:rsidP="00996C78">
      <w:pPr>
        <w:spacing w:line="360" w:lineRule="auto"/>
        <w:ind w:left="720" w:hanging="720"/>
        <w:jc w:val="both"/>
        <w:rPr>
          <w:rFonts w:ascii="Times New Roman" w:hAnsi="Times New Roman" w:cs="Times New Roman"/>
          <w:b/>
          <w:sz w:val="24"/>
          <w:szCs w:val="24"/>
        </w:rPr>
      </w:pPr>
      <w:proofErr w:type="spellStart"/>
      <w:r w:rsidRPr="001F01F2">
        <w:rPr>
          <w:rFonts w:ascii="Times New Roman" w:hAnsi="Times New Roman" w:cs="Times New Roman"/>
          <w:color w:val="000000"/>
          <w:sz w:val="24"/>
          <w:szCs w:val="24"/>
          <w:shd w:val="clear" w:color="auto" w:fill="FFFFFF"/>
          <w:lang w:val="en-US"/>
        </w:rPr>
        <w:t>Plakandaras</w:t>
      </w:r>
      <w:proofErr w:type="spellEnd"/>
      <w:r w:rsidRPr="001F01F2">
        <w:rPr>
          <w:rFonts w:ascii="Times New Roman" w:hAnsi="Times New Roman" w:cs="Times New Roman"/>
          <w:color w:val="000000"/>
          <w:sz w:val="24"/>
          <w:szCs w:val="24"/>
          <w:shd w:val="clear" w:color="auto" w:fill="FFFFFF"/>
          <w:lang w:val="en-US"/>
        </w:rPr>
        <w:t xml:space="preserve">, V., Papadimitriou, T., &amp; </w:t>
      </w:r>
      <w:proofErr w:type="spellStart"/>
      <w:r w:rsidRPr="001F01F2">
        <w:rPr>
          <w:rFonts w:ascii="Times New Roman" w:hAnsi="Times New Roman" w:cs="Times New Roman"/>
          <w:color w:val="000000"/>
          <w:sz w:val="24"/>
          <w:szCs w:val="24"/>
          <w:shd w:val="clear" w:color="auto" w:fill="FFFFFF"/>
          <w:lang w:val="en-US"/>
        </w:rPr>
        <w:t>Gogas</w:t>
      </w:r>
      <w:proofErr w:type="spellEnd"/>
      <w:r w:rsidRPr="001F01F2">
        <w:rPr>
          <w:rFonts w:ascii="Times New Roman" w:hAnsi="Times New Roman" w:cs="Times New Roman"/>
          <w:color w:val="000000"/>
          <w:sz w:val="24"/>
          <w:szCs w:val="24"/>
          <w:shd w:val="clear" w:color="auto" w:fill="FFFFFF"/>
          <w:lang w:val="en-US"/>
        </w:rPr>
        <w:t>, P. (2015). </w:t>
      </w:r>
      <w:r w:rsidRPr="001F01F2">
        <w:rPr>
          <w:rFonts w:ascii="Times New Roman" w:hAnsi="Times New Roman" w:cs="Times New Roman"/>
          <w:i/>
          <w:iCs/>
          <w:color w:val="000000"/>
          <w:sz w:val="24"/>
          <w:szCs w:val="24"/>
          <w:shd w:val="clear" w:color="auto" w:fill="FFFFFF"/>
          <w:lang w:val="en-US"/>
        </w:rPr>
        <w:t xml:space="preserve">Forecasting Daily and Monthly Exchange Rates with Machine Learning Techniques. </w:t>
      </w:r>
      <w:proofErr w:type="spellStart"/>
      <w:r w:rsidRPr="001F01F2">
        <w:rPr>
          <w:rFonts w:ascii="Times New Roman" w:hAnsi="Times New Roman" w:cs="Times New Roman"/>
          <w:i/>
          <w:iCs/>
          <w:color w:val="000000"/>
          <w:sz w:val="24"/>
          <w:szCs w:val="24"/>
          <w:shd w:val="clear" w:color="auto" w:fill="FFFFFF"/>
        </w:rPr>
        <w:t>Journal</w:t>
      </w:r>
      <w:proofErr w:type="spellEnd"/>
      <w:r w:rsidRPr="001F01F2">
        <w:rPr>
          <w:rFonts w:ascii="Times New Roman" w:hAnsi="Times New Roman" w:cs="Times New Roman"/>
          <w:i/>
          <w:iCs/>
          <w:color w:val="000000"/>
          <w:sz w:val="24"/>
          <w:szCs w:val="24"/>
          <w:shd w:val="clear" w:color="auto" w:fill="FFFFFF"/>
        </w:rPr>
        <w:t xml:space="preserve"> of </w:t>
      </w:r>
      <w:proofErr w:type="spellStart"/>
      <w:r w:rsidRPr="001F01F2">
        <w:rPr>
          <w:rFonts w:ascii="Times New Roman" w:hAnsi="Times New Roman" w:cs="Times New Roman"/>
          <w:i/>
          <w:iCs/>
          <w:color w:val="000000"/>
          <w:sz w:val="24"/>
          <w:szCs w:val="24"/>
          <w:shd w:val="clear" w:color="auto" w:fill="FFFFFF"/>
        </w:rPr>
        <w:t>Forecasting</w:t>
      </w:r>
      <w:proofErr w:type="spellEnd"/>
      <w:r w:rsidRPr="001F01F2">
        <w:rPr>
          <w:rFonts w:ascii="Times New Roman" w:hAnsi="Times New Roman" w:cs="Times New Roman"/>
          <w:i/>
          <w:iCs/>
          <w:color w:val="000000"/>
          <w:sz w:val="24"/>
          <w:szCs w:val="24"/>
          <w:shd w:val="clear" w:color="auto" w:fill="FFFFFF"/>
        </w:rPr>
        <w:t>, 34(7), 560–573.</w:t>
      </w:r>
    </w:p>
    <w:sectPr w:rsidR="009A4E1E" w:rsidRPr="009A4E1E" w:rsidSect="006321E3">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FF9" w:rsidRDefault="00AA2FF9" w:rsidP="006321E3">
      <w:pPr>
        <w:spacing w:after="0" w:line="240" w:lineRule="auto"/>
      </w:pPr>
      <w:r>
        <w:separator/>
      </w:r>
    </w:p>
  </w:endnote>
  <w:endnote w:type="continuationSeparator" w:id="0">
    <w:p w:rsidR="00AA2FF9" w:rsidRDefault="00AA2FF9" w:rsidP="0063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2383"/>
      <w:docPartObj>
        <w:docPartGallery w:val="Page Numbers (Bottom of Page)"/>
        <w:docPartUnique/>
      </w:docPartObj>
    </w:sdtPr>
    <w:sdtEndPr>
      <w:rPr>
        <w:rFonts w:ascii="Times New Roman" w:hAnsi="Times New Roman" w:cs="Times New Roman"/>
        <w:sz w:val="20"/>
        <w:szCs w:val="20"/>
      </w:rPr>
    </w:sdtEndPr>
    <w:sdtContent>
      <w:p w:rsidR="0098666F" w:rsidRPr="006321E3" w:rsidRDefault="0098666F">
        <w:pPr>
          <w:pStyle w:val="Stopka"/>
          <w:jc w:val="center"/>
          <w:rPr>
            <w:rFonts w:ascii="Times New Roman" w:hAnsi="Times New Roman" w:cs="Times New Roman"/>
            <w:sz w:val="20"/>
            <w:szCs w:val="20"/>
          </w:rPr>
        </w:pPr>
        <w:r w:rsidRPr="006321E3">
          <w:rPr>
            <w:rFonts w:ascii="Times New Roman" w:hAnsi="Times New Roman" w:cs="Times New Roman"/>
            <w:sz w:val="20"/>
            <w:szCs w:val="20"/>
          </w:rPr>
          <w:fldChar w:fldCharType="begin"/>
        </w:r>
        <w:r w:rsidRPr="006321E3">
          <w:rPr>
            <w:rFonts w:ascii="Times New Roman" w:hAnsi="Times New Roman" w:cs="Times New Roman"/>
            <w:sz w:val="20"/>
            <w:szCs w:val="20"/>
          </w:rPr>
          <w:instrText>PAGE   \* MERGEFORMAT</w:instrText>
        </w:r>
        <w:r w:rsidRPr="006321E3">
          <w:rPr>
            <w:rFonts w:ascii="Times New Roman" w:hAnsi="Times New Roman" w:cs="Times New Roman"/>
            <w:sz w:val="20"/>
            <w:szCs w:val="20"/>
          </w:rPr>
          <w:fldChar w:fldCharType="separate"/>
        </w:r>
        <w:r w:rsidRPr="006321E3">
          <w:rPr>
            <w:rFonts w:ascii="Times New Roman" w:hAnsi="Times New Roman" w:cs="Times New Roman"/>
            <w:sz w:val="20"/>
            <w:szCs w:val="20"/>
          </w:rPr>
          <w:t>2</w:t>
        </w:r>
        <w:r w:rsidRPr="006321E3">
          <w:rPr>
            <w:rFonts w:ascii="Times New Roman" w:hAnsi="Times New Roman" w:cs="Times New Roman"/>
            <w:sz w:val="20"/>
            <w:szCs w:val="20"/>
          </w:rPr>
          <w:fldChar w:fldCharType="end"/>
        </w:r>
      </w:p>
    </w:sdtContent>
  </w:sdt>
  <w:p w:rsidR="0098666F" w:rsidRDefault="0098666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FF9" w:rsidRDefault="00AA2FF9" w:rsidP="006321E3">
      <w:pPr>
        <w:spacing w:after="0" w:line="240" w:lineRule="auto"/>
      </w:pPr>
      <w:r>
        <w:separator/>
      </w:r>
    </w:p>
  </w:footnote>
  <w:footnote w:type="continuationSeparator" w:id="0">
    <w:p w:rsidR="00AA2FF9" w:rsidRDefault="00AA2FF9" w:rsidP="006321E3">
      <w:pPr>
        <w:spacing w:after="0" w:line="240" w:lineRule="auto"/>
      </w:pPr>
      <w:r>
        <w:continuationSeparator/>
      </w:r>
    </w:p>
  </w:footnote>
  <w:footnote w:id="1">
    <w:p w:rsidR="0098666F" w:rsidRPr="0098666F" w:rsidRDefault="0098666F" w:rsidP="006E7488">
      <w:pPr>
        <w:jc w:val="both"/>
        <w:rPr>
          <w:rFonts w:ascii="Times New Roman" w:hAnsi="Times New Roman" w:cs="Times New Roman"/>
          <w:sz w:val="16"/>
          <w:szCs w:val="16"/>
        </w:rPr>
      </w:pPr>
      <w:r w:rsidRPr="0098666F">
        <w:rPr>
          <w:rStyle w:val="Odwoanieprzypisudolnego"/>
          <w:rFonts w:ascii="Times New Roman" w:hAnsi="Times New Roman" w:cs="Times New Roman"/>
          <w:sz w:val="16"/>
          <w:szCs w:val="16"/>
        </w:rPr>
        <w:footnoteRef/>
      </w:r>
      <w:r w:rsidRPr="0098666F">
        <w:rPr>
          <w:rFonts w:ascii="Times New Roman" w:hAnsi="Times New Roman" w:cs="Times New Roman"/>
          <w:sz w:val="16"/>
          <w:szCs w:val="16"/>
        </w:rPr>
        <w:t xml:space="preserve"> Nie zdecydowano się na podział próbki na klasyczne in-</w:t>
      </w:r>
      <w:proofErr w:type="spellStart"/>
      <w:r w:rsidRPr="0098666F">
        <w:rPr>
          <w:rFonts w:ascii="Times New Roman" w:hAnsi="Times New Roman" w:cs="Times New Roman"/>
          <w:sz w:val="16"/>
          <w:szCs w:val="16"/>
        </w:rPr>
        <w:t>sample</w:t>
      </w:r>
      <w:proofErr w:type="spellEnd"/>
      <w:r w:rsidRPr="0098666F">
        <w:rPr>
          <w:rFonts w:ascii="Times New Roman" w:hAnsi="Times New Roman" w:cs="Times New Roman"/>
          <w:sz w:val="16"/>
          <w:szCs w:val="16"/>
        </w:rPr>
        <w:t>, na którym byłaby dokonywana parametryzacja modelu i out-of-</w:t>
      </w:r>
      <w:proofErr w:type="spellStart"/>
      <w:r w:rsidRPr="0098666F">
        <w:rPr>
          <w:rFonts w:ascii="Times New Roman" w:hAnsi="Times New Roman" w:cs="Times New Roman"/>
          <w:sz w:val="16"/>
          <w:szCs w:val="16"/>
        </w:rPr>
        <w:t>sample</w:t>
      </w:r>
      <w:proofErr w:type="spellEnd"/>
      <w:r w:rsidRPr="0098666F">
        <w:rPr>
          <w:rFonts w:ascii="Times New Roman" w:hAnsi="Times New Roman" w:cs="Times New Roman"/>
          <w:sz w:val="16"/>
          <w:szCs w:val="16"/>
        </w:rPr>
        <w:t xml:space="preserve"> (czyli de facto jedną obserwację), na której sprawdzane są wyniki, ponieważ prognozy były wykonywane jedynie na jeden okres do przodu, a w niektórych przypadkach na ruchomym oknie. Taki podział nie miałby więc znaczącego wpływu na wnioski płynące z badania. </w:t>
      </w:r>
    </w:p>
    <w:p w:rsidR="0098666F" w:rsidRDefault="0098666F">
      <w:pPr>
        <w:pStyle w:val="Tekstprzypisudolneg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37C5"/>
    <w:multiLevelType w:val="hybridMultilevel"/>
    <w:tmpl w:val="528C3AE6"/>
    <w:lvl w:ilvl="0" w:tplc="A268F56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9272C5"/>
    <w:multiLevelType w:val="hybridMultilevel"/>
    <w:tmpl w:val="AC18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57947"/>
    <w:multiLevelType w:val="hybridMultilevel"/>
    <w:tmpl w:val="C0446B44"/>
    <w:lvl w:ilvl="0" w:tplc="0415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E74F1"/>
    <w:multiLevelType w:val="multilevel"/>
    <w:tmpl w:val="5F6C3AB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5E62158F"/>
    <w:multiLevelType w:val="hybridMultilevel"/>
    <w:tmpl w:val="5A389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8771B"/>
    <w:multiLevelType w:val="hybridMultilevel"/>
    <w:tmpl w:val="040EF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62"/>
    <w:rsid w:val="0001397E"/>
    <w:rsid w:val="000230EA"/>
    <w:rsid w:val="00031F01"/>
    <w:rsid w:val="0004168D"/>
    <w:rsid w:val="000512CE"/>
    <w:rsid w:val="000A4C79"/>
    <w:rsid w:val="000F02A8"/>
    <w:rsid w:val="00112693"/>
    <w:rsid w:val="00120CF8"/>
    <w:rsid w:val="00153F62"/>
    <w:rsid w:val="00172A61"/>
    <w:rsid w:val="001749F9"/>
    <w:rsid w:val="001940CE"/>
    <w:rsid w:val="001A5FBC"/>
    <w:rsid w:val="001D3263"/>
    <w:rsid w:val="001F01F2"/>
    <w:rsid w:val="00206C63"/>
    <w:rsid w:val="00206F18"/>
    <w:rsid w:val="00214423"/>
    <w:rsid w:val="00232FE7"/>
    <w:rsid w:val="00262452"/>
    <w:rsid w:val="00262B97"/>
    <w:rsid w:val="00284684"/>
    <w:rsid w:val="00285F2A"/>
    <w:rsid w:val="002C166A"/>
    <w:rsid w:val="002C5E3E"/>
    <w:rsid w:val="002E5299"/>
    <w:rsid w:val="002F30EF"/>
    <w:rsid w:val="002F5A13"/>
    <w:rsid w:val="003E6656"/>
    <w:rsid w:val="003F096B"/>
    <w:rsid w:val="0043750D"/>
    <w:rsid w:val="00440B3F"/>
    <w:rsid w:val="00460BB0"/>
    <w:rsid w:val="00470775"/>
    <w:rsid w:val="004826AB"/>
    <w:rsid w:val="004C0408"/>
    <w:rsid w:val="004D543F"/>
    <w:rsid w:val="004F7678"/>
    <w:rsid w:val="005043FE"/>
    <w:rsid w:val="00536294"/>
    <w:rsid w:val="00562747"/>
    <w:rsid w:val="005679BD"/>
    <w:rsid w:val="00585D32"/>
    <w:rsid w:val="00587D2D"/>
    <w:rsid w:val="005F6402"/>
    <w:rsid w:val="00623CFC"/>
    <w:rsid w:val="0062686E"/>
    <w:rsid w:val="006309E1"/>
    <w:rsid w:val="006321E3"/>
    <w:rsid w:val="00685A4F"/>
    <w:rsid w:val="0069033E"/>
    <w:rsid w:val="006B33AC"/>
    <w:rsid w:val="006E7488"/>
    <w:rsid w:val="006F344F"/>
    <w:rsid w:val="00703332"/>
    <w:rsid w:val="00755499"/>
    <w:rsid w:val="00777D74"/>
    <w:rsid w:val="00793E46"/>
    <w:rsid w:val="007C3D6C"/>
    <w:rsid w:val="007F0A58"/>
    <w:rsid w:val="008058AD"/>
    <w:rsid w:val="0082145D"/>
    <w:rsid w:val="00836158"/>
    <w:rsid w:val="008A3FE7"/>
    <w:rsid w:val="008F4427"/>
    <w:rsid w:val="00904C88"/>
    <w:rsid w:val="00905F25"/>
    <w:rsid w:val="00920009"/>
    <w:rsid w:val="0094415D"/>
    <w:rsid w:val="009455A0"/>
    <w:rsid w:val="00985F40"/>
    <w:rsid w:val="0098666F"/>
    <w:rsid w:val="00991A6E"/>
    <w:rsid w:val="00996480"/>
    <w:rsid w:val="00996C78"/>
    <w:rsid w:val="009A4E1E"/>
    <w:rsid w:val="009D5E18"/>
    <w:rsid w:val="00A02510"/>
    <w:rsid w:val="00A14F91"/>
    <w:rsid w:val="00A21E4E"/>
    <w:rsid w:val="00A60C42"/>
    <w:rsid w:val="00A85766"/>
    <w:rsid w:val="00A85AAB"/>
    <w:rsid w:val="00AA2FF9"/>
    <w:rsid w:val="00AC7E95"/>
    <w:rsid w:val="00AE7D63"/>
    <w:rsid w:val="00AF1705"/>
    <w:rsid w:val="00B577BA"/>
    <w:rsid w:val="00B67481"/>
    <w:rsid w:val="00B871D2"/>
    <w:rsid w:val="00BA5487"/>
    <w:rsid w:val="00BA6BC4"/>
    <w:rsid w:val="00BD08E1"/>
    <w:rsid w:val="00C4763E"/>
    <w:rsid w:val="00C769DF"/>
    <w:rsid w:val="00C87674"/>
    <w:rsid w:val="00CC4F78"/>
    <w:rsid w:val="00CD6CCB"/>
    <w:rsid w:val="00CE2698"/>
    <w:rsid w:val="00D06D2C"/>
    <w:rsid w:val="00D40FD8"/>
    <w:rsid w:val="00D5122C"/>
    <w:rsid w:val="00D65F33"/>
    <w:rsid w:val="00DB0060"/>
    <w:rsid w:val="00DC5FB4"/>
    <w:rsid w:val="00DF3CF1"/>
    <w:rsid w:val="00E01936"/>
    <w:rsid w:val="00E40657"/>
    <w:rsid w:val="00E41F2E"/>
    <w:rsid w:val="00E445B9"/>
    <w:rsid w:val="00E5213A"/>
    <w:rsid w:val="00E7013B"/>
    <w:rsid w:val="00E73F74"/>
    <w:rsid w:val="00E74638"/>
    <w:rsid w:val="00EB42C2"/>
    <w:rsid w:val="00F067B7"/>
    <w:rsid w:val="00F10A62"/>
    <w:rsid w:val="00F11694"/>
    <w:rsid w:val="00F20EF7"/>
    <w:rsid w:val="00F26A0D"/>
    <w:rsid w:val="00F27C95"/>
    <w:rsid w:val="00FC0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FE3A"/>
  <w15:chartTrackingRefBased/>
  <w15:docId w15:val="{51A875DC-6D04-4032-8A8B-83DBE7DA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10A62"/>
    <w:pPr>
      <w:spacing w:after="200" w:line="276" w:lineRule="auto"/>
    </w:pPr>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10A62"/>
    <w:pPr>
      <w:spacing w:after="0" w:line="240" w:lineRule="auto"/>
    </w:pPr>
    <w:rPr>
      <w:lang w:val="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9A4E1E"/>
    <w:pPr>
      <w:ind w:left="720"/>
      <w:contextualSpacing/>
    </w:pPr>
  </w:style>
  <w:style w:type="paragraph" w:styleId="Nagwek">
    <w:name w:val="header"/>
    <w:basedOn w:val="Normalny"/>
    <w:link w:val="NagwekZnak"/>
    <w:uiPriority w:val="99"/>
    <w:unhideWhenUsed/>
    <w:rsid w:val="006321E3"/>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6321E3"/>
    <w:rPr>
      <w:lang w:val="pl-PL"/>
    </w:rPr>
  </w:style>
  <w:style w:type="paragraph" w:styleId="Stopka">
    <w:name w:val="footer"/>
    <w:basedOn w:val="Normalny"/>
    <w:link w:val="StopkaZnak"/>
    <w:uiPriority w:val="99"/>
    <w:unhideWhenUsed/>
    <w:rsid w:val="006321E3"/>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6321E3"/>
    <w:rPr>
      <w:lang w:val="pl-PL"/>
    </w:rPr>
  </w:style>
  <w:style w:type="paragraph" w:styleId="Legenda">
    <w:name w:val="caption"/>
    <w:basedOn w:val="Normalny"/>
    <w:next w:val="Normalny"/>
    <w:uiPriority w:val="35"/>
    <w:unhideWhenUsed/>
    <w:qFormat/>
    <w:rsid w:val="00D5122C"/>
    <w:pPr>
      <w:spacing w:line="240" w:lineRule="auto"/>
    </w:pPr>
    <w:rPr>
      <w:i/>
      <w:iCs/>
      <w:color w:val="44546A" w:themeColor="text2"/>
      <w:sz w:val="18"/>
      <w:szCs w:val="18"/>
    </w:rPr>
  </w:style>
  <w:style w:type="character" w:styleId="Tekstzastpczy">
    <w:name w:val="Placeholder Text"/>
    <w:basedOn w:val="Domylnaczcionkaakapitu"/>
    <w:uiPriority w:val="99"/>
    <w:semiHidden/>
    <w:rsid w:val="00470775"/>
    <w:rPr>
      <w:color w:val="808080"/>
    </w:rPr>
  </w:style>
  <w:style w:type="paragraph" w:styleId="Tekstprzypisudolnego">
    <w:name w:val="footnote text"/>
    <w:basedOn w:val="Normalny"/>
    <w:link w:val="TekstprzypisudolnegoZnak"/>
    <w:uiPriority w:val="99"/>
    <w:semiHidden/>
    <w:unhideWhenUsed/>
    <w:rsid w:val="006E748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E7488"/>
    <w:rPr>
      <w:sz w:val="20"/>
      <w:szCs w:val="20"/>
      <w:lang w:val="pl-PL"/>
    </w:rPr>
  </w:style>
  <w:style w:type="character" w:styleId="Odwoanieprzypisudolnego">
    <w:name w:val="footnote reference"/>
    <w:basedOn w:val="Domylnaczcionkaakapitu"/>
    <w:uiPriority w:val="99"/>
    <w:semiHidden/>
    <w:unhideWhenUsed/>
    <w:rsid w:val="006E74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2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onik\Documents\STUDIES\PROGNOZOWANIE\projekt\dane_kurs_sredni_miesia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a:t>Średni miesięczny kurs EUR do PLN</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Arkusz1!$B$2:$B$126</c:f>
              <c:numCache>
                <c:formatCode>mmm\-yy</c:formatCode>
                <c:ptCount val="125"/>
                <c:pt idx="0">
                  <c:v>40909</c:v>
                </c:pt>
                <c:pt idx="1">
                  <c:v>40940</c:v>
                </c:pt>
                <c:pt idx="2">
                  <c:v>40969</c:v>
                </c:pt>
                <c:pt idx="3">
                  <c:v>41000</c:v>
                </c:pt>
                <c:pt idx="4">
                  <c:v>41030</c:v>
                </c:pt>
                <c:pt idx="5">
                  <c:v>41061</c:v>
                </c:pt>
                <c:pt idx="6">
                  <c:v>41091</c:v>
                </c:pt>
                <c:pt idx="7">
                  <c:v>41122</c:v>
                </c:pt>
                <c:pt idx="8">
                  <c:v>41153</c:v>
                </c:pt>
                <c:pt idx="9">
                  <c:v>41183</c:v>
                </c:pt>
                <c:pt idx="10">
                  <c:v>41214</c:v>
                </c:pt>
                <c:pt idx="11">
                  <c:v>41244</c:v>
                </c:pt>
                <c:pt idx="12">
                  <c:v>41275</c:v>
                </c:pt>
                <c:pt idx="13">
                  <c:v>41306</c:v>
                </c:pt>
                <c:pt idx="14">
                  <c:v>41334</c:v>
                </c:pt>
                <c:pt idx="15">
                  <c:v>41365</c:v>
                </c:pt>
                <c:pt idx="16">
                  <c:v>41395</c:v>
                </c:pt>
                <c:pt idx="17">
                  <c:v>41426</c:v>
                </c:pt>
                <c:pt idx="18">
                  <c:v>41456</c:v>
                </c:pt>
                <c:pt idx="19">
                  <c:v>41487</c:v>
                </c:pt>
                <c:pt idx="20">
                  <c:v>41518</c:v>
                </c:pt>
                <c:pt idx="21">
                  <c:v>41548</c:v>
                </c:pt>
                <c:pt idx="22">
                  <c:v>41579</c:v>
                </c:pt>
                <c:pt idx="23">
                  <c:v>41609</c:v>
                </c:pt>
                <c:pt idx="24">
                  <c:v>41640</c:v>
                </c:pt>
                <c:pt idx="25">
                  <c:v>41671</c:v>
                </c:pt>
                <c:pt idx="26">
                  <c:v>41699</c:v>
                </c:pt>
                <c:pt idx="27">
                  <c:v>41730</c:v>
                </c:pt>
                <c:pt idx="28">
                  <c:v>41760</c:v>
                </c:pt>
                <c:pt idx="29">
                  <c:v>41791</c:v>
                </c:pt>
                <c:pt idx="30">
                  <c:v>41821</c:v>
                </c:pt>
                <c:pt idx="31">
                  <c:v>41852</c:v>
                </c:pt>
                <c:pt idx="32">
                  <c:v>41883</c:v>
                </c:pt>
                <c:pt idx="33">
                  <c:v>41913</c:v>
                </c:pt>
                <c:pt idx="34">
                  <c:v>41944</c:v>
                </c:pt>
                <c:pt idx="35">
                  <c:v>41974</c:v>
                </c:pt>
                <c:pt idx="36">
                  <c:v>42005</c:v>
                </c:pt>
                <c:pt idx="37">
                  <c:v>42036</c:v>
                </c:pt>
                <c:pt idx="38">
                  <c:v>42064</c:v>
                </c:pt>
                <c:pt idx="39">
                  <c:v>42095</c:v>
                </c:pt>
                <c:pt idx="40">
                  <c:v>42125</c:v>
                </c:pt>
                <c:pt idx="41">
                  <c:v>42156</c:v>
                </c:pt>
                <c:pt idx="42">
                  <c:v>42186</c:v>
                </c:pt>
                <c:pt idx="43">
                  <c:v>42217</c:v>
                </c:pt>
                <c:pt idx="44">
                  <c:v>42248</c:v>
                </c:pt>
                <c:pt idx="45">
                  <c:v>42278</c:v>
                </c:pt>
                <c:pt idx="46">
                  <c:v>42309</c:v>
                </c:pt>
                <c:pt idx="47">
                  <c:v>42339</c:v>
                </c:pt>
                <c:pt idx="48">
                  <c:v>42370</c:v>
                </c:pt>
                <c:pt idx="49">
                  <c:v>42401</c:v>
                </c:pt>
                <c:pt idx="50">
                  <c:v>42430</c:v>
                </c:pt>
                <c:pt idx="51">
                  <c:v>42461</c:v>
                </c:pt>
                <c:pt idx="52">
                  <c:v>42491</c:v>
                </c:pt>
                <c:pt idx="53">
                  <c:v>42522</c:v>
                </c:pt>
                <c:pt idx="54">
                  <c:v>42552</c:v>
                </c:pt>
                <c:pt idx="55">
                  <c:v>42583</c:v>
                </c:pt>
                <c:pt idx="56">
                  <c:v>42614</c:v>
                </c:pt>
                <c:pt idx="57">
                  <c:v>42644</c:v>
                </c:pt>
                <c:pt idx="58">
                  <c:v>42675</c:v>
                </c:pt>
                <c:pt idx="59">
                  <c:v>42705</c:v>
                </c:pt>
                <c:pt idx="60">
                  <c:v>42736</c:v>
                </c:pt>
                <c:pt idx="61">
                  <c:v>42767</c:v>
                </c:pt>
                <c:pt idx="62">
                  <c:v>42795</c:v>
                </c:pt>
                <c:pt idx="63">
                  <c:v>42826</c:v>
                </c:pt>
                <c:pt idx="64">
                  <c:v>42856</c:v>
                </c:pt>
                <c:pt idx="65">
                  <c:v>42887</c:v>
                </c:pt>
                <c:pt idx="66">
                  <c:v>42917</c:v>
                </c:pt>
                <c:pt idx="67">
                  <c:v>42948</c:v>
                </c:pt>
                <c:pt idx="68">
                  <c:v>42979</c:v>
                </c:pt>
                <c:pt idx="69">
                  <c:v>43009</c:v>
                </c:pt>
                <c:pt idx="70">
                  <c:v>43040</c:v>
                </c:pt>
                <c:pt idx="71">
                  <c:v>43070</c:v>
                </c:pt>
                <c:pt idx="72">
                  <c:v>43101</c:v>
                </c:pt>
                <c:pt idx="73">
                  <c:v>43132</c:v>
                </c:pt>
                <c:pt idx="74">
                  <c:v>43160</c:v>
                </c:pt>
                <c:pt idx="75">
                  <c:v>43191</c:v>
                </c:pt>
                <c:pt idx="76">
                  <c:v>43221</c:v>
                </c:pt>
                <c:pt idx="77">
                  <c:v>43252</c:v>
                </c:pt>
                <c:pt idx="78">
                  <c:v>43282</c:v>
                </c:pt>
                <c:pt idx="79">
                  <c:v>43313</c:v>
                </c:pt>
                <c:pt idx="80">
                  <c:v>43344</c:v>
                </c:pt>
                <c:pt idx="81">
                  <c:v>43374</c:v>
                </c:pt>
                <c:pt idx="82">
                  <c:v>43405</c:v>
                </c:pt>
                <c:pt idx="83">
                  <c:v>43435</c:v>
                </c:pt>
                <c:pt idx="84">
                  <c:v>43466</c:v>
                </c:pt>
                <c:pt idx="85">
                  <c:v>43497</c:v>
                </c:pt>
                <c:pt idx="86">
                  <c:v>43525</c:v>
                </c:pt>
                <c:pt idx="87">
                  <c:v>43556</c:v>
                </c:pt>
                <c:pt idx="88">
                  <c:v>43586</c:v>
                </c:pt>
                <c:pt idx="89">
                  <c:v>43617</c:v>
                </c:pt>
                <c:pt idx="90">
                  <c:v>43647</c:v>
                </c:pt>
                <c:pt idx="91">
                  <c:v>43678</c:v>
                </c:pt>
                <c:pt idx="92">
                  <c:v>43709</c:v>
                </c:pt>
                <c:pt idx="93">
                  <c:v>43739</c:v>
                </c:pt>
                <c:pt idx="94">
                  <c:v>43770</c:v>
                </c:pt>
                <c:pt idx="95">
                  <c:v>43800</c:v>
                </c:pt>
                <c:pt idx="96">
                  <c:v>43831</c:v>
                </c:pt>
                <c:pt idx="97">
                  <c:v>43862</c:v>
                </c:pt>
                <c:pt idx="98">
                  <c:v>43891</c:v>
                </c:pt>
                <c:pt idx="99">
                  <c:v>43922</c:v>
                </c:pt>
                <c:pt idx="100">
                  <c:v>43952</c:v>
                </c:pt>
                <c:pt idx="101">
                  <c:v>43983</c:v>
                </c:pt>
                <c:pt idx="102">
                  <c:v>44013</c:v>
                </c:pt>
                <c:pt idx="103">
                  <c:v>44044</c:v>
                </c:pt>
                <c:pt idx="104">
                  <c:v>44075</c:v>
                </c:pt>
                <c:pt idx="105">
                  <c:v>44105</c:v>
                </c:pt>
                <c:pt idx="106">
                  <c:v>44136</c:v>
                </c:pt>
                <c:pt idx="107">
                  <c:v>44166</c:v>
                </c:pt>
                <c:pt idx="108">
                  <c:v>44197</c:v>
                </c:pt>
                <c:pt idx="109">
                  <c:v>44228</c:v>
                </c:pt>
                <c:pt idx="110">
                  <c:v>44256</c:v>
                </c:pt>
                <c:pt idx="111">
                  <c:v>44287</c:v>
                </c:pt>
                <c:pt idx="112">
                  <c:v>44317</c:v>
                </c:pt>
                <c:pt idx="113">
                  <c:v>44348</c:v>
                </c:pt>
                <c:pt idx="114">
                  <c:v>44378</c:v>
                </c:pt>
                <c:pt idx="115">
                  <c:v>44409</c:v>
                </c:pt>
                <c:pt idx="116">
                  <c:v>44440</c:v>
                </c:pt>
                <c:pt idx="117">
                  <c:v>44470</c:v>
                </c:pt>
                <c:pt idx="118">
                  <c:v>44501</c:v>
                </c:pt>
                <c:pt idx="119">
                  <c:v>44531</c:v>
                </c:pt>
                <c:pt idx="120">
                  <c:v>44562</c:v>
                </c:pt>
                <c:pt idx="121">
                  <c:v>44593</c:v>
                </c:pt>
                <c:pt idx="122">
                  <c:v>44621</c:v>
                </c:pt>
                <c:pt idx="123">
                  <c:v>44652</c:v>
                </c:pt>
                <c:pt idx="124">
                  <c:v>44682</c:v>
                </c:pt>
              </c:numCache>
            </c:numRef>
          </c:cat>
          <c:val>
            <c:numRef>
              <c:f>Arkusz1!$C$2:$C$126</c:f>
              <c:numCache>
                <c:formatCode>General</c:formatCode>
                <c:ptCount val="125"/>
                <c:pt idx="0">
                  <c:v>4.3775000000000004</c:v>
                </c:pt>
                <c:pt idx="1">
                  <c:v>4.1840000000000002</c:v>
                </c:pt>
                <c:pt idx="2">
                  <c:v>4.1369999999999996</c:v>
                </c:pt>
                <c:pt idx="3">
                  <c:v>4.1756000000000002</c:v>
                </c:pt>
                <c:pt idx="4">
                  <c:v>4.2884000000000002</c:v>
                </c:pt>
                <c:pt idx="5">
                  <c:v>4.3071999999999999</c:v>
                </c:pt>
                <c:pt idx="6">
                  <c:v>4.1896000000000004</c:v>
                </c:pt>
                <c:pt idx="7">
                  <c:v>4.0911999999999997</c:v>
                </c:pt>
                <c:pt idx="8">
                  <c:v>4.1314000000000002</c:v>
                </c:pt>
                <c:pt idx="9">
                  <c:v>4.1090999999999998</c:v>
                </c:pt>
                <c:pt idx="10">
                  <c:v>4.1353999999999997</c:v>
                </c:pt>
                <c:pt idx="11">
                  <c:v>4.0937999999999999</c:v>
                </c:pt>
                <c:pt idx="12">
                  <c:v>4.1368999999999998</c:v>
                </c:pt>
                <c:pt idx="13">
                  <c:v>4.1734</c:v>
                </c:pt>
                <c:pt idx="14">
                  <c:v>4.1581000000000001</c:v>
                </c:pt>
                <c:pt idx="15">
                  <c:v>4.1409000000000002</c:v>
                </c:pt>
                <c:pt idx="16">
                  <c:v>4.1759000000000004</c:v>
                </c:pt>
                <c:pt idx="17">
                  <c:v>4.2865000000000002</c:v>
                </c:pt>
                <c:pt idx="18">
                  <c:v>4.2755999999999998</c:v>
                </c:pt>
                <c:pt idx="19">
                  <c:v>4.2294999999999998</c:v>
                </c:pt>
                <c:pt idx="20">
                  <c:v>4.2375999999999996</c:v>
                </c:pt>
                <c:pt idx="21">
                  <c:v>4.1908000000000003</c:v>
                </c:pt>
                <c:pt idx="22">
                  <c:v>4.1882000000000001</c:v>
                </c:pt>
                <c:pt idx="23">
                  <c:v>4.1757</c:v>
                </c:pt>
                <c:pt idx="24">
                  <c:v>4.1776</c:v>
                </c:pt>
                <c:pt idx="25">
                  <c:v>4.1786000000000003</c:v>
                </c:pt>
                <c:pt idx="26">
                  <c:v>4.1971999999999996</c:v>
                </c:pt>
                <c:pt idx="27">
                  <c:v>4.1840999999999999</c:v>
                </c:pt>
                <c:pt idx="28">
                  <c:v>4.1790000000000003</c:v>
                </c:pt>
                <c:pt idx="29">
                  <c:v>4.1368999999999998</c:v>
                </c:pt>
                <c:pt idx="30">
                  <c:v>4.1447000000000003</c:v>
                </c:pt>
                <c:pt idx="31">
                  <c:v>4.1932</c:v>
                </c:pt>
                <c:pt idx="32">
                  <c:v>4.1901000000000002</c:v>
                </c:pt>
                <c:pt idx="33">
                  <c:v>4.2050000000000001</c:v>
                </c:pt>
                <c:pt idx="34">
                  <c:v>4.2115</c:v>
                </c:pt>
                <c:pt idx="35">
                  <c:v>4.2233000000000001</c:v>
                </c:pt>
                <c:pt idx="36">
                  <c:v>4.2797000000000001</c:v>
                </c:pt>
                <c:pt idx="37">
                  <c:v>4.1776</c:v>
                </c:pt>
                <c:pt idx="38">
                  <c:v>4.1277999999999997</c:v>
                </c:pt>
                <c:pt idx="39">
                  <c:v>4.0290999999999997</c:v>
                </c:pt>
                <c:pt idx="40">
                  <c:v>4.0782999999999996</c:v>
                </c:pt>
                <c:pt idx="41">
                  <c:v>4.1597</c:v>
                </c:pt>
                <c:pt idx="42">
                  <c:v>4.1539999999999999</c:v>
                </c:pt>
                <c:pt idx="43">
                  <c:v>4.1936</c:v>
                </c:pt>
                <c:pt idx="44">
                  <c:v>4.2168999999999999</c:v>
                </c:pt>
                <c:pt idx="45">
                  <c:v>4.2460000000000004</c:v>
                </c:pt>
                <c:pt idx="46">
                  <c:v>4.2503000000000002</c:v>
                </c:pt>
                <c:pt idx="47">
                  <c:v>4.2904999999999998</c:v>
                </c:pt>
                <c:pt idx="48">
                  <c:v>4.3935000000000004</c:v>
                </c:pt>
                <c:pt idx="49">
                  <c:v>4.3959999999999999</c:v>
                </c:pt>
                <c:pt idx="50">
                  <c:v>4.2934000000000001</c:v>
                </c:pt>
                <c:pt idx="51">
                  <c:v>4.3068</c:v>
                </c:pt>
                <c:pt idx="52">
                  <c:v>4.4076000000000004</c:v>
                </c:pt>
                <c:pt idx="53">
                  <c:v>4.4019000000000004</c:v>
                </c:pt>
                <c:pt idx="54">
                  <c:v>4.3966000000000003</c:v>
                </c:pt>
                <c:pt idx="55">
                  <c:v>4.3003</c:v>
                </c:pt>
                <c:pt idx="56">
                  <c:v>4.3250000000000002</c:v>
                </c:pt>
                <c:pt idx="57">
                  <c:v>4.3086000000000002</c:v>
                </c:pt>
                <c:pt idx="58">
                  <c:v>4.3838999999999997</c:v>
                </c:pt>
                <c:pt idx="59">
                  <c:v>4.4371</c:v>
                </c:pt>
                <c:pt idx="60">
                  <c:v>4.3705999999999996</c:v>
                </c:pt>
                <c:pt idx="61">
                  <c:v>4.3097000000000003</c:v>
                </c:pt>
                <c:pt idx="62">
                  <c:v>4.2920999999999996</c:v>
                </c:pt>
                <c:pt idx="63">
                  <c:v>4.2385000000000002</c:v>
                </c:pt>
                <c:pt idx="64">
                  <c:v>4.2039999999999997</c:v>
                </c:pt>
                <c:pt idx="65">
                  <c:v>4.2083000000000004</c:v>
                </c:pt>
                <c:pt idx="66">
                  <c:v>4.2361000000000004</c:v>
                </c:pt>
                <c:pt idx="67">
                  <c:v>4.2664999999999997</c:v>
                </c:pt>
                <c:pt idx="68">
                  <c:v>4.2702</c:v>
                </c:pt>
                <c:pt idx="69">
                  <c:v>4.2667999999999999</c:v>
                </c:pt>
                <c:pt idx="70">
                  <c:v>4.2293000000000003</c:v>
                </c:pt>
                <c:pt idx="71">
                  <c:v>4.2016</c:v>
                </c:pt>
                <c:pt idx="72">
                  <c:v>4.1635999999999997</c:v>
                </c:pt>
                <c:pt idx="73">
                  <c:v>4.1683000000000003</c:v>
                </c:pt>
                <c:pt idx="74">
                  <c:v>4.2100999999999997</c:v>
                </c:pt>
                <c:pt idx="75">
                  <c:v>4.1947999999999999</c:v>
                </c:pt>
                <c:pt idx="76">
                  <c:v>4.282</c:v>
                </c:pt>
                <c:pt idx="77">
                  <c:v>4.3053999999999997</c:v>
                </c:pt>
                <c:pt idx="78">
                  <c:v>4.3300999999999998</c:v>
                </c:pt>
                <c:pt idx="79">
                  <c:v>4.2873000000000001</c:v>
                </c:pt>
                <c:pt idx="80">
                  <c:v>4.2991999999999999</c:v>
                </c:pt>
                <c:pt idx="81">
                  <c:v>4.306</c:v>
                </c:pt>
                <c:pt idx="82">
                  <c:v>4.3029000000000002</c:v>
                </c:pt>
                <c:pt idx="83">
                  <c:v>4.2904999999999998</c:v>
                </c:pt>
                <c:pt idx="84">
                  <c:v>4.2953999999999999</c:v>
                </c:pt>
                <c:pt idx="85">
                  <c:v>4.3156999999999996</c:v>
                </c:pt>
                <c:pt idx="86">
                  <c:v>4.2995999999999999</c:v>
                </c:pt>
                <c:pt idx="87">
                  <c:v>4.2873999999999999</c:v>
                </c:pt>
                <c:pt idx="88">
                  <c:v>4.2965</c:v>
                </c:pt>
                <c:pt idx="89">
                  <c:v>4.266</c:v>
                </c:pt>
                <c:pt idx="90">
                  <c:v>4.2598000000000003</c:v>
                </c:pt>
                <c:pt idx="91">
                  <c:v>4.3437000000000001</c:v>
                </c:pt>
                <c:pt idx="92">
                  <c:v>4.3547000000000002</c:v>
                </c:pt>
                <c:pt idx="93">
                  <c:v>4.3025000000000002</c:v>
                </c:pt>
                <c:pt idx="94">
                  <c:v>4.2843</c:v>
                </c:pt>
                <c:pt idx="95">
                  <c:v>4.2721</c:v>
                </c:pt>
                <c:pt idx="96">
                  <c:v>4.2504</c:v>
                </c:pt>
                <c:pt idx="97">
                  <c:v>4.2789000000000001</c:v>
                </c:pt>
                <c:pt idx="98">
                  <c:v>4.4356</c:v>
                </c:pt>
                <c:pt idx="99">
                  <c:v>4.5449999999999999</c:v>
                </c:pt>
                <c:pt idx="100">
                  <c:v>4.5290999999999997</c:v>
                </c:pt>
                <c:pt idx="101">
                  <c:v>4.4450000000000003</c:v>
                </c:pt>
                <c:pt idx="102">
                  <c:v>4.4527999999999999</c:v>
                </c:pt>
                <c:pt idx="103">
                  <c:v>4.4020999999999999</c:v>
                </c:pt>
                <c:pt idx="104">
                  <c:v>4.4740000000000002</c:v>
                </c:pt>
                <c:pt idx="105">
                  <c:v>4.5411000000000001</c:v>
                </c:pt>
                <c:pt idx="106">
                  <c:v>4.5023</c:v>
                </c:pt>
                <c:pt idx="107">
                  <c:v>4.4766000000000004</c:v>
                </c:pt>
                <c:pt idx="108">
                  <c:v>4.5434999999999999</c:v>
                </c:pt>
                <c:pt idx="109">
                  <c:v>4.4988000000000001</c:v>
                </c:pt>
                <c:pt idx="110">
                  <c:v>4.6006999999999998</c:v>
                </c:pt>
                <c:pt idx="111">
                  <c:v>4.5658000000000003</c:v>
                </c:pt>
                <c:pt idx="112">
                  <c:v>4.5301</c:v>
                </c:pt>
                <c:pt idx="113">
                  <c:v>4.5015000000000001</c:v>
                </c:pt>
                <c:pt idx="114">
                  <c:v>4.5629999999999997</c:v>
                </c:pt>
                <c:pt idx="115">
                  <c:v>4.57</c:v>
                </c:pt>
                <c:pt idx="116">
                  <c:v>4.5663999999999998</c:v>
                </c:pt>
                <c:pt idx="117">
                  <c:v>4.5952000000000002</c:v>
                </c:pt>
                <c:pt idx="118">
                  <c:v>4.6508000000000003</c:v>
                </c:pt>
                <c:pt idx="119">
                  <c:v>4.6162999999999998</c:v>
                </c:pt>
                <c:pt idx="120">
                  <c:v>4.5548000000000002</c:v>
                </c:pt>
                <c:pt idx="121">
                  <c:v>4.5538999999999996</c:v>
                </c:pt>
                <c:pt idx="122">
                  <c:v>4.7603</c:v>
                </c:pt>
                <c:pt idx="123">
                  <c:v>4.6464999999999996</c:v>
                </c:pt>
                <c:pt idx="124">
                  <c:v>4.6502999999999997</c:v>
                </c:pt>
              </c:numCache>
            </c:numRef>
          </c:val>
          <c:smooth val="0"/>
          <c:extLst>
            <c:ext xmlns:c16="http://schemas.microsoft.com/office/drawing/2014/chart" uri="{C3380CC4-5D6E-409C-BE32-E72D297353CC}">
              <c16:uniqueId val="{00000000-B077-4BB9-BE02-397137AD733A}"/>
            </c:ext>
          </c:extLst>
        </c:ser>
        <c:dLbls>
          <c:showLegendKey val="0"/>
          <c:showVal val="0"/>
          <c:showCatName val="0"/>
          <c:showSerName val="0"/>
          <c:showPercent val="0"/>
          <c:showBubbleSize val="0"/>
        </c:dLbls>
        <c:smooth val="0"/>
        <c:axId val="1750146559"/>
        <c:axId val="1744561231"/>
      </c:lineChart>
      <c:dateAx>
        <c:axId val="1750146559"/>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561231"/>
        <c:crosses val="autoZero"/>
        <c:auto val="1"/>
        <c:lblOffset val="100"/>
        <c:baseTimeUnit val="months"/>
      </c:dateAx>
      <c:valAx>
        <c:axId val="1744561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14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D755-8C9F-4806-86C9-615B58942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2599</Words>
  <Characters>14820</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cp:lastModifiedBy>
  <cp:revision>2</cp:revision>
  <dcterms:created xsi:type="dcterms:W3CDTF">2022-07-10T21:13:00Z</dcterms:created>
  <dcterms:modified xsi:type="dcterms:W3CDTF">2022-07-10T21:13:00Z</dcterms:modified>
</cp:coreProperties>
</file>