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E6C1B" w14:textId="277B23ED" w:rsidR="00CA51F0" w:rsidRPr="006435C4" w:rsidRDefault="00CA51F0" w:rsidP="00CA51F0">
      <w:pPr>
        <w:ind w:left="360" w:hanging="360"/>
        <w:rPr>
          <w:b/>
          <w:bCs/>
          <w:sz w:val="28"/>
          <w:szCs w:val="28"/>
        </w:rPr>
      </w:pPr>
      <w:r w:rsidRPr="006435C4">
        <w:rPr>
          <w:b/>
          <w:bCs/>
          <w:sz w:val="28"/>
          <w:szCs w:val="28"/>
        </w:rPr>
        <w:t xml:space="preserve">AOK Bayern </w:t>
      </w:r>
      <w:proofErr w:type="spellStart"/>
      <w:r w:rsidRPr="006435C4">
        <w:rPr>
          <w:b/>
          <w:bCs/>
          <w:sz w:val="28"/>
          <w:szCs w:val="28"/>
        </w:rPr>
        <w:t>Insights</w:t>
      </w:r>
      <w:proofErr w:type="spellEnd"/>
      <w:r w:rsidRPr="006435C4">
        <w:rPr>
          <w:b/>
          <w:bCs/>
          <w:sz w:val="28"/>
          <w:szCs w:val="28"/>
        </w:rPr>
        <w:t xml:space="preserve"> Hackathon </w:t>
      </w:r>
      <w:proofErr w:type="spellStart"/>
      <w:r w:rsidRPr="006435C4">
        <w:rPr>
          <w:b/>
          <w:bCs/>
          <w:sz w:val="28"/>
          <w:szCs w:val="28"/>
        </w:rPr>
        <w:t>StmGP</w:t>
      </w:r>
      <w:proofErr w:type="spellEnd"/>
    </w:p>
    <w:p w14:paraId="2A2265E5" w14:textId="77777777" w:rsidR="00CA51F0" w:rsidRPr="006435C4" w:rsidRDefault="00CA51F0" w:rsidP="00C23B2D"/>
    <w:p w14:paraId="554D35EF" w14:textId="4746E886" w:rsidR="00C23B2D" w:rsidRDefault="00C23B2D" w:rsidP="00C23B2D">
      <w:r w:rsidRPr="00C23B2D">
        <w:t xml:space="preserve">Disclaimer: Sehr allgemeine Fragestellung </w:t>
      </w:r>
      <w:r>
        <w:t>–</w:t>
      </w:r>
      <w:r w:rsidRPr="00C23B2D">
        <w:t xml:space="preserve"> d</w:t>
      </w:r>
      <w:r>
        <w:t xml:space="preserve">aher Auswahl der Erkrankungsbilder und deren Definition schwierig. </w:t>
      </w:r>
    </w:p>
    <w:p w14:paraId="445BFB96" w14:textId="77777777" w:rsidR="00C23B2D" w:rsidRPr="00C23B2D" w:rsidRDefault="00C23B2D" w:rsidP="00C23B2D"/>
    <w:p w14:paraId="379F4F20" w14:textId="759924E5" w:rsidR="00670A17" w:rsidRPr="00670A17" w:rsidRDefault="00670A17" w:rsidP="00670A17">
      <w:pPr>
        <w:numPr>
          <w:ilvl w:val="0"/>
          <w:numId w:val="1"/>
        </w:numPr>
        <w:rPr>
          <w:b/>
          <w:bCs/>
        </w:rPr>
      </w:pPr>
      <w:r w:rsidRPr="00670A17">
        <w:rPr>
          <w:b/>
          <w:bCs/>
        </w:rPr>
        <w:t xml:space="preserve">Welche Krankheiten / Indikationen verursachen großen gesundheitliche Schäden und / oder Kosten für die Kostenträger? </w:t>
      </w:r>
    </w:p>
    <w:p w14:paraId="75AB3EB0" w14:textId="77777777" w:rsidR="00670A17" w:rsidRPr="00670A17" w:rsidRDefault="00670A17" w:rsidP="00670A17">
      <w:r w:rsidRPr="00670A17">
        <w:t>Alle großen Volkskrankheiten wie z. B. unsere DMP-Indikationen Diabetes, Adipositas, KHK, HI, COPD. Grund: Die schiere Menge der Versicherten bei steigender Inzidenz und Prävalenz, hier insbesondere des Diabetes.</w:t>
      </w:r>
    </w:p>
    <w:p w14:paraId="4590CB64" w14:textId="77777777" w:rsidR="00670A17" w:rsidRPr="00670A17" w:rsidRDefault="00670A17" w:rsidP="00670A17">
      <w:r w:rsidRPr="00670A17">
        <w:t xml:space="preserve">Des Weiteren: Onkologische Erkrankungen. Grund hier: Extrem teure neue und innovative Therapieverfahren wie zum Beispiel bei der </w:t>
      </w:r>
      <w:proofErr w:type="spellStart"/>
      <w:r w:rsidRPr="00670A17">
        <w:t>Targeted</w:t>
      </w:r>
      <w:proofErr w:type="spellEnd"/>
      <w:r w:rsidRPr="00670A17">
        <w:t xml:space="preserve"> Tumortherapie oder bei der CAR-T-Zell-Therapie.</w:t>
      </w:r>
    </w:p>
    <w:p w14:paraId="5ED79311" w14:textId="77777777" w:rsidR="00670A17" w:rsidRDefault="00670A17" w:rsidP="00670A17">
      <w:r w:rsidRPr="00670A17">
        <w:t>Des Weiteren: Neurologische Erkrankungen wie Demenz, Parkinson, MS. Grund: Hohe Therapiekosten hier v.a. durch Heil- und Hilfsmittel und Pflege.</w:t>
      </w:r>
    </w:p>
    <w:p w14:paraId="038A8A44" w14:textId="411DDF2F" w:rsidR="00BF75E3" w:rsidRPr="00670A17" w:rsidRDefault="00BF75E3" w:rsidP="00670A17">
      <w:pPr>
        <w:rPr>
          <w:b/>
          <w:bCs/>
        </w:rPr>
      </w:pPr>
      <w:r w:rsidRPr="00BF75E3">
        <w:rPr>
          <w:b/>
          <w:bCs/>
        </w:rPr>
        <w:t>Krankheitsbilder mit den entsprechenden ICDs und Arzneimittelwirkstoffen gemäß RSA-Verfahren</w:t>
      </w:r>
      <w:r>
        <w:rPr>
          <w:b/>
          <w:bCs/>
        </w:rPr>
        <w:t xml:space="preserve">: </w:t>
      </w:r>
    </w:p>
    <w:tbl>
      <w:tblPr>
        <w:tblpPr w:leftFromText="141" w:rightFromText="141" w:vertAnchor="text" w:horzAnchor="margin" w:tblpY="20"/>
        <w:tblW w:w="5000" w:type="pct"/>
        <w:tblLayout w:type="fixed"/>
        <w:tblCellMar>
          <w:left w:w="0" w:type="dxa"/>
          <w:right w:w="0" w:type="dxa"/>
        </w:tblCellMar>
        <w:tblLook w:val="04A0" w:firstRow="1" w:lastRow="0" w:firstColumn="1" w:lastColumn="0" w:noHBand="0" w:noVBand="1"/>
      </w:tblPr>
      <w:tblGrid>
        <w:gridCol w:w="699"/>
        <w:gridCol w:w="4821"/>
        <w:gridCol w:w="2013"/>
        <w:gridCol w:w="1519"/>
      </w:tblGrid>
      <w:tr w:rsidR="00FA1B3A" w:rsidRPr="00FA1B3A" w14:paraId="4E0EB9D0" w14:textId="77777777" w:rsidTr="00FA1B3A">
        <w:trPr>
          <w:trHeight w:val="264"/>
        </w:trPr>
        <w:tc>
          <w:tcPr>
            <w:tcW w:w="386" w:type="pct"/>
            <w:tcBorders>
              <w:top w:val="single" w:sz="8" w:space="0" w:color="auto"/>
              <w:left w:val="single" w:sz="8" w:space="0" w:color="auto"/>
              <w:bottom w:val="single" w:sz="8" w:space="0" w:color="auto"/>
              <w:right w:val="single" w:sz="8" w:space="0" w:color="auto"/>
            </w:tcBorders>
            <w:shd w:val="clear" w:color="auto" w:fill="E8E8E8"/>
            <w:noWrap/>
            <w:tcMar>
              <w:top w:w="0" w:type="dxa"/>
              <w:left w:w="70" w:type="dxa"/>
              <w:bottom w:w="0" w:type="dxa"/>
              <w:right w:w="70" w:type="dxa"/>
            </w:tcMar>
            <w:hideMark/>
          </w:tcPr>
          <w:p w14:paraId="0CF902EE" w14:textId="77777777" w:rsidR="00FA1B3A" w:rsidRPr="00FA1B3A" w:rsidRDefault="00FA1B3A" w:rsidP="00FA1B3A">
            <w:r w:rsidRPr="00FA1B3A">
              <w:t xml:space="preserve">Rang </w:t>
            </w:r>
          </w:p>
        </w:tc>
        <w:tc>
          <w:tcPr>
            <w:tcW w:w="2663" w:type="pct"/>
            <w:tcBorders>
              <w:top w:val="single" w:sz="8" w:space="0" w:color="auto"/>
              <w:left w:val="nil"/>
              <w:bottom w:val="single" w:sz="8" w:space="0" w:color="auto"/>
              <w:right w:val="single" w:sz="8" w:space="0" w:color="auto"/>
            </w:tcBorders>
            <w:shd w:val="clear" w:color="auto" w:fill="E8E8E8"/>
            <w:noWrap/>
            <w:tcMar>
              <w:top w:w="0" w:type="dxa"/>
              <w:left w:w="70" w:type="dxa"/>
              <w:bottom w:w="0" w:type="dxa"/>
              <w:right w:w="70" w:type="dxa"/>
            </w:tcMar>
            <w:hideMark/>
          </w:tcPr>
          <w:p w14:paraId="47F2262C" w14:textId="77777777" w:rsidR="00FA1B3A" w:rsidRPr="00FA1B3A" w:rsidRDefault="00FA1B3A" w:rsidP="00FA1B3A">
            <w:r w:rsidRPr="00FA1B3A">
              <w:t>Krankheitsbilder</w:t>
            </w:r>
          </w:p>
        </w:tc>
        <w:tc>
          <w:tcPr>
            <w:tcW w:w="1112" w:type="pct"/>
            <w:tcBorders>
              <w:top w:val="single" w:sz="8" w:space="0" w:color="auto"/>
              <w:left w:val="nil"/>
              <w:bottom w:val="single" w:sz="8" w:space="0" w:color="auto"/>
              <w:right w:val="single" w:sz="8" w:space="0" w:color="auto"/>
            </w:tcBorders>
            <w:shd w:val="clear" w:color="auto" w:fill="E8E8E8"/>
            <w:noWrap/>
            <w:tcMar>
              <w:top w:w="0" w:type="dxa"/>
              <w:left w:w="70" w:type="dxa"/>
              <w:bottom w:w="0" w:type="dxa"/>
              <w:right w:w="70" w:type="dxa"/>
            </w:tcMar>
            <w:hideMark/>
          </w:tcPr>
          <w:p w14:paraId="2FAF4B4A" w14:textId="77777777" w:rsidR="00FA1B3A" w:rsidRPr="00FA1B3A" w:rsidRDefault="00FA1B3A" w:rsidP="00FA1B3A">
            <w:r w:rsidRPr="00FA1B3A">
              <w:t xml:space="preserve">ICD </w:t>
            </w:r>
          </w:p>
        </w:tc>
        <w:tc>
          <w:tcPr>
            <w:tcW w:w="839" w:type="pct"/>
            <w:tcBorders>
              <w:top w:val="single" w:sz="8" w:space="0" w:color="auto"/>
              <w:left w:val="nil"/>
              <w:bottom w:val="single" w:sz="8" w:space="0" w:color="auto"/>
              <w:right w:val="single" w:sz="8" w:space="0" w:color="auto"/>
            </w:tcBorders>
            <w:shd w:val="clear" w:color="auto" w:fill="E8E8E8"/>
            <w:noWrap/>
            <w:tcMar>
              <w:top w:w="0" w:type="dxa"/>
              <w:left w:w="70" w:type="dxa"/>
              <w:bottom w:w="0" w:type="dxa"/>
              <w:right w:w="70" w:type="dxa"/>
            </w:tcMar>
            <w:hideMark/>
          </w:tcPr>
          <w:p w14:paraId="72E81F89" w14:textId="77777777" w:rsidR="00FA1B3A" w:rsidRPr="00FA1B3A" w:rsidRDefault="00FA1B3A" w:rsidP="00FA1B3A">
            <w:r w:rsidRPr="00FA1B3A">
              <w:t>Arzneimittelwirkstoffe (RSA-Verfahren)</w:t>
            </w:r>
          </w:p>
        </w:tc>
      </w:tr>
      <w:tr w:rsidR="00FA1B3A" w:rsidRPr="00FA1B3A" w14:paraId="76228EAF"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25FB41E5" w14:textId="77777777" w:rsidR="00FA1B3A" w:rsidRPr="00FA1B3A" w:rsidRDefault="00FA1B3A" w:rsidP="00FA1B3A">
            <w:r w:rsidRPr="00FA1B3A">
              <w:t>1.</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331BC629" w14:textId="77777777" w:rsidR="00FA1B3A" w:rsidRPr="00FA1B3A" w:rsidRDefault="00FA1B3A" w:rsidP="00FA1B3A">
            <w:r w:rsidRPr="00FA1B3A">
              <w:t>Diabetes mellitus Typ 1 und 2 bei Erwachsenen</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4B8DCFD0" w14:textId="77777777" w:rsidR="00FA1B3A" w:rsidRPr="00FA1B3A" w:rsidRDefault="00FA1B3A" w:rsidP="00FA1B3A">
            <w:r w:rsidRPr="00FA1B3A">
              <w:t>E10*; E11*; E12*; E13*; E14*; G59.0; G63.2; H36.0; I79.2; N08.3; U69.73; U69.74; U69.75</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1A6A2BE4" w14:textId="77777777" w:rsidR="00FA1B3A" w:rsidRPr="00FA1B3A" w:rsidRDefault="00FA1B3A" w:rsidP="00FA1B3A">
            <w:r w:rsidRPr="00FA1B3A">
              <w:t>siehe Anlage</w:t>
            </w:r>
          </w:p>
        </w:tc>
      </w:tr>
      <w:tr w:rsidR="00FA1B3A" w:rsidRPr="00FA1B3A" w14:paraId="2B988C6B"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26C8CD02" w14:textId="77777777" w:rsidR="00FA1B3A" w:rsidRPr="00FA1B3A" w:rsidRDefault="00FA1B3A" w:rsidP="00FA1B3A">
            <w:r w:rsidRPr="00FA1B3A">
              <w:t>2.</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006D7BE7" w14:textId="77777777" w:rsidR="00FA1B3A" w:rsidRPr="00FA1B3A" w:rsidRDefault="00FA1B3A" w:rsidP="00FA1B3A">
            <w:r w:rsidRPr="00FA1B3A">
              <w:t>Leichte und mittelgradige depressive Störungen und Episoden, schwere Depression (rezidivierend und nicht rezidivierend)</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03370CE9" w14:textId="77777777" w:rsidR="00FA1B3A" w:rsidRPr="00FA1B3A" w:rsidRDefault="00FA1B3A" w:rsidP="00FA1B3A">
            <w:r w:rsidRPr="00FA1B3A">
              <w:t>F32*; F33*</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71F6FEC4" w14:textId="77777777" w:rsidR="00FA1B3A" w:rsidRPr="00FA1B3A" w:rsidRDefault="00FA1B3A" w:rsidP="00FA1B3A">
            <w:r w:rsidRPr="00FA1B3A">
              <w:t>Bei schweren Depressionen: siehe Anlage</w:t>
            </w:r>
          </w:p>
        </w:tc>
      </w:tr>
      <w:tr w:rsidR="00FA1B3A" w:rsidRPr="00FA1B3A" w14:paraId="6DAC49C2"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164F9CB2" w14:textId="77777777" w:rsidR="00FA1B3A" w:rsidRPr="00FA1B3A" w:rsidRDefault="00FA1B3A" w:rsidP="00FA1B3A">
            <w:r w:rsidRPr="00FA1B3A">
              <w:t>3.</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073B1882" w14:textId="77777777" w:rsidR="00FA1B3A" w:rsidRPr="00FA1B3A" w:rsidRDefault="00FA1B3A" w:rsidP="00FA1B3A">
            <w:r w:rsidRPr="00FA1B3A">
              <w:t>Lungenmetastasen und Metastasen der Verdauungsorgane</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0127DD6A" w14:textId="77777777" w:rsidR="00FA1B3A" w:rsidRPr="00FA1B3A" w:rsidRDefault="00FA1B3A" w:rsidP="00FA1B3A">
            <w:r w:rsidRPr="00FA1B3A">
              <w:t>C78*</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7165E919" w14:textId="77777777" w:rsidR="00FA1B3A" w:rsidRPr="00FA1B3A" w:rsidRDefault="00FA1B3A" w:rsidP="00FA1B3A"/>
        </w:tc>
      </w:tr>
      <w:tr w:rsidR="00FA1B3A" w:rsidRPr="00FA1B3A" w14:paraId="1B8459EC"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05968F97" w14:textId="77777777" w:rsidR="00FA1B3A" w:rsidRPr="00FA1B3A" w:rsidRDefault="00FA1B3A" w:rsidP="00FA1B3A">
            <w:r w:rsidRPr="00FA1B3A">
              <w:t>4.</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7C0F4DEC" w14:textId="77777777" w:rsidR="00FA1B3A" w:rsidRPr="00FA1B3A" w:rsidRDefault="00FA1B3A" w:rsidP="00FA1B3A">
            <w:r w:rsidRPr="00FA1B3A">
              <w:t>Vorhofflimmern und Vorhofflattern (Vorhofarrhythmie)</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722D4E2B" w14:textId="77777777" w:rsidR="00FA1B3A" w:rsidRPr="00FA1B3A" w:rsidRDefault="00FA1B3A" w:rsidP="00FA1B3A">
            <w:r w:rsidRPr="00FA1B3A">
              <w:t>I48*</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4F1CB624" w14:textId="77777777" w:rsidR="00FA1B3A" w:rsidRPr="00FA1B3A" w:rsidRDefault="00FA1B3A" w:rsidP="00FA1B3A"/>
        </w:tc>
      </w:tr>
      <w:tr w:rsidR="00FA1B3A" w:rsidRPr="00FA1B3A" w14:paraId="0DE21A4F"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F7A7A37" w14:textId="77777777" w:rsidR="00FA1B3A" w:rsidRPr="00FA1B3A" w:rsidRDefault="00FA1B3A" w:rsidP="00FA1B3A">
            <w:r w:rsidRPr="00FA1B3A">
              <w:t>5.</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58AF74C2" w14:textId="77777777" w:rsidR="00FA1B3A" w:rsidRPr="00FA1B3A" w:rsidRDefault="00FA1B3A" w:rsidP="00FA1B3A">
            <w:r w:rsidRPr="00FA1B3A">
              <w:t>Chronischer Schmerz mit Dauermedikation</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5E1F1C14" w14:textId="77777777" w:rsidR="00FA1B3A" w:rsidRPr="00FA1B3A" w:rsidRDefault="00FA1B3A" w:rsidP="00FA1B3A">
            <w:r w:rsidRPr="00FA1B3A">
              <w:t>F45.4*; R52.1; R52.2</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6A8510CB" w14:textId="77777777" w:rsidR="00FA1B3A" w:rsidRPr="00FA1B3A" w:rsidRDefault="00FA1B3A" w:rsidP="00FA1B3A">
            <w:r w:rsidRPr="00FA1B3A">
              <w:t>siehe Anlage</w:t>
            </w:r>
          </w:p>
        </w:tc>
      </w:tr>
      <w:tr w:rsidR="00FA1B3A" w:rsidRPr="00FA1B3A" w14:paraId="52A28FFA"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6180504" w14:textId="77777777" w:rsidR="00FA1B3A" w:rsidRPr="00FA1B3A" w:rsidRDefault="00FA1B3A" w:rsidP="00FA1B3A">
            <w:r w:rsidRPr="00FA1B3A">
              <w:t>6.</w:t>
            </w:r>
          </w:p>
        </w:tc>
        <w:tc>
          <w:tcPr>
            <w:tcW w:w="2663" w:type="pct"/>
            <w:tcBorders>
              <w:top w:val="nil"/>
              <w:left w:val="nil"/>
              <w:bottom w:val="single" w:sz="8" w:space="0" w:color="auto"/>
              <w:right w:val="single" w:sz="8" w:space="0" w:color="auto"/>
            </w:tcBorders>
            <w:tcMar>
              <w:top w:w="0" w:type="dxa"/>
              <w:left w:w="70" w:type="dxa"/>
              <w:bottom w:w="0" w:type="dxa"/>
              <w:right w:w="70" w:type="dxa"/>
            </w:tcMar>
            <w:hideMark/>
          </w:tcPr>
          <w:p w14:paraId="52854CC2" w14:textId="77777777" w:rsidR="00FA1B3A" w:rsidRPr="00FA1B3A" w:rsidRDefault="00FA1B3A" w:rsidP="00FA1B3A">
            <w:r w:rsidRPr="00FA1B3A">
              <w:t>COPD oder Emphysem mit Dauermedikation, akutes schweres Asthma (&gt; 17 Jahre)</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5EDE944D" w14:textId="77777777" w:rsidR="00FA1B3A" w:rsidRPr="00FA1B3A" w:rsidRDefault="00FA1B3A" w:rsidP="00FA1B3A">
            <w:r w:rsidRPr="00FA1B3A">
              <w:t>J43*; J44*; J98.2; J98.3</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1BEC4868" w14:textId="77777777" w:rsidR="00FA1B3A" w:rsidRPr="00FA1B3A" w:rsidRDefault="00FA1B3A" w:rsidP="00FA1B3A">
            <w:r w:rsidRPr="00FA1B3A">
              <w:t>siehe Anlage</w:t>
            </w:r>
          </w:p>
        </w:tc>
      </w:tr>
      <w:tr w:rsidR="00FA1B3A" w:rsidRPr="00FA1B3A" w14:paraId="598E6EBF" w14:textId="77777777" w:rsidTr="00FA1B3A">
        <w:trPr>
          <w:trHeight w:val="264"/>
        </w:trPr>
        <w:tc>
          <w:tcPr>
            <w:tcW w:w="386" w:type="pct"/>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17A4DA0" w14:textId="77777777" w:rsidR="00FA1B3A" w:rsidRPr="00FA1B3A" w:rsidRDefault="00FA1B3A" w:rsidP="00FA1B3A">
            <w:r w:rsidRPr="00FA1B3A">
              <w:t>7.</w:t>
            </w:r>
          </w:p>
        </w:tc>
        <w:tc>
          <w:tcPr>
            <w:tcW w:w="2663" w:type="pct"/>
            <w:tcBorders>
              <w:top w:val="nil"/>
              <w:left w:val="nil"/>
              <w:bottom w:val="single" w:sz="8" w:space="0" w:color="auto"/>
              <w:right w:val="single" w:sz="8" w:space="0" w:color="auto"/>
            </w:tcBorders>
            <w:noWrap/>
            <w:tcMar>
              <w:top w:w="0" w:type="dxa"/>
              <w:left w:w="70" w:type="dxa"/>
              <w:bottom w:w="0" w:type="dxa"/>
              <w:right w:w="70" w:type="dxa"/>
            </w:tcMar>
            <w:hideMark/>
          </w:tcPr>
          <w:p w14:paraId="0C00CADF" w14:textId="77777777" w:rsidR="00FA1B3A" w:rsidRPr="00FA1B3A" w:rsidRDefault="00FA1B3A" w:rsidP="00FA1B3A">
            <w:r w:rsidRPr="00FA1B3A">
              <w:t xml:space="preserve">Multiple Sklerose </w:t>
            </w:r>
          </w:p>
        </w:tc>
        <w:tc>
          <w:tcPr>
            <w:tcW w:w="1112" w:type="pct"/>
            <w:tcBorders>
              <w:top w:val="nil"/>
              <w:left w:val="nil"/>
              <w:bottom w:val="single" w:sz="8" w:space="0" w:color="auto"/>
              <w:right w:val="single" w:sz="8" w:space="0" w:color="auto"/>
            </w:tcBorders>
            <w:noWrap/>
            <w:tcMar>
              <w:top w:w="0" w:type="dxa"/>
              <w:left w:w="70" w:type="dxa"/>
              <w:bottom w:w="0" w:type="dxa"/>
              <w:right w:w="70" w:type="dxa"/>
            </w:tcMar>
            <w:hideMark/>
          </w:tcPr>
          <w:p w14:paraId="15737507" w14:textId="77777777" w:rsidR="00FA1B3A" w:rsidRPr="00FA1B3A" w:rsidRDefault="00FA1B3A" w:rsidP="00FA1B3A">
            <w:r w:rsidRPr="00FA1B3A">
              <w:t>G35.0, G35.1*, G35.2*, G35.3*, G35.9*</w:t>
            </w:r>
          </w:p>
        </w:tc>
        <w:tc>
          <w:tcPr>
            <w:tcW w:w="839" w:type="pct"/>
            <w:tcBorders>
              <w:top w:val="nil"/>
              <w:left w:val="nil"/>
              <w:bottom w:val="single" w:sz="8" w:space="0" w:color="auto"/>
              <w:right w:val="single" w:sz="8" w:space="0" w:color="auto"/>
            </w:tcBorders>
            <w:noWrap/>
            <w:tcMar>
              <w:top w:w="0" w:type="dxa"/>
              <w:left w:w="70" w:type="dxa"/>
              <w:bottom w:w="0" w:type="dxa"/>
              <w:right w:w="70" w:type="dxa"/>
            </w:tcMar>
            <w:hideMark/>
          </w:tcPr>
          <w:p w14:paraId="095D40DF" w14:textId="77777777" w:rsidR="00FA1B3A" w:rsidRPr="00FA1B3A" w:rsidRDefault="00FA1B3A" w:rsidP="00FA1B3A">
            <w:r w:rsidRPr="00FA1B3A">
              <w:t>siehe Anlage</w:t>
            </w:r>
          </w:p>
        </w:tc>
      </w:tr>
    </w:tbl>
    <w:p w14:paraId="0EE6EE79" w14:textId="77777777" w:rsidR="00FA1B3A" w:rsidRDefault="00FA1B3A" w:rsidP="00FA1B3A"/>
    <w:p w14:paraId="20623EF4" w14:textId="5B86D6D2" w:rsidR="00041BEC" w:rsidRPr="00041BEC" w:rsidRDefault="00041BEC" w:rsidP="00041BEC">
      <w:r w:rsidRPr="00041BEC">
        <w:t xml:space="preserve">Auf Platz 5 wäre eigentlich Dialysestatus, Apherese. Dies passt aber nicht zur Auswahl nach Volkskrankheiten. Hier entstehen allerdings sehr hohe Kosten. Die Dialyse und Apherese sind aber auch keine Erkrankungen sondern Behandlungsformen, die zusätzlich z.B. bei Nierenerkrankungen zur Anwendung kommen. </w:t>
      </w:r>
    </w:p>
    <w:p w14:paraId="0F31E7EB" w14:textId="5EEC0F01" w:rsidR="00670A17" w:rsidRDefault="00041BEC" w:rsidP="00670A17">
      <w:r w:rsidRPr="00041BEC">
        <w:t>Die ausgewählten Arzneimittelwirkstoffe entspringen der BAS-Festlegung. In der Versorgung können aber auch andere Wirkstoffen in der Therapie angewendet werden.</w:t>
      </w:r>
    </w:p>
    <w:p w14:paraId="5C945F6C" w14:textId="77777777" w:rsidR="00041BEC" w:rsidRPr="00670A17" w:rsidRDefault="00041BEC" w:rsidP="00670A17"/>
    <w:p w14:paraId="089AD5B3" w14:textId="77777777" w:rsidR="00670A17" w:rsidRPr="00670A17" w:rsidRDefault="00670A17" w:rsidP="00670A17">
      <w:pPr>
        <w:numPr>
          <w:ilvl w:val="0"/>
          <w:numId w:val="1"/>
        </w:numPr>
        <w:rPr>
          <w:b/>
          <w:bCs/>
        </w:rPr>
      </w:pPr>
      <w:r w:rsidRPr="00670A17">
        <w:rPr>
          <w:b/>
          <w:bCs/>
        </w:rPr>
        <w:t>Welche davon lassen sich gut mit entsprechenden Vorsorgemaßnahmen / bestehenden Programmen verhindern bzw. deren Risiko minimieren?</w:t>
      </w:r>
    </w:p>
    <w:p w14:paraId="3704F7C3" w14:textId="77777777" w:rsidR="00670A17" w:rsidRPr="00670A17" w:rsidRDefault="00670A17" w:rsidP="00670A17"/>
    <w:p w14:paraId="54A1D578" w14:textId="4153C893" w:rsidR="00670A17" w:rsidRPr="00670A17" w:rsidRDefault="00670A17" w:rsidP="00670A17">
      <w:r w:rsidRPr="00670A17">
        <w:t>2.a) Krebserkrankungen wie Brust-</w:t>
      </w:r>
      <w:r w:rsidR="006435C4">
        <w:t xml:space="preserve"> </w:t>
      </w:r>
      <w:proofErr w:type="spellStart"/>
      <w:r w:rsidR="006435C4">
        <w:t>und</w:t>
      </w:r>
      <w:r w:rsidRPr="00670A17">
        <w:t>Darmkrebs</w:t>
      </w:r>
      <w:proofErr w:type="spellEnd"/>
      <w:r w:rsidRPr="00670A17">
        <w:t>, für die spezifische und gut etablierte Screening-Programme existieren. Dadurch werden entstehende Tumore in viel früheren Stadien entdeckt und sind zumeist heilbar.</w:t>
      </w:r>
    </w:p>
    <w:p w14:paraId="5F87506E" w14:textId="77777777" w:rsidR="00670A17" w:rsidRPr="00670A17" w:rsidRDefault="00670A17" w:rsidP="00670A17">
      <w:r w:rsidRPr="00670A17">
        <w:t>2.b) Kardiovaskuläre und Stoffwechselerkrankungen wie Diabetes: Verhinderung durch gesunden Lebensstil = Nicht rauchen, kein Alkohol, viel Bewegung, ausreichend Schlaf, gesunde Ernährung, Vermeidung von Übergewicht.</w:t>
      </w:r>
    </w:p>
    <w:p w14:paraId="6525851E" w14:textId="77777777" w:rsidR="00670A17" w:rsidRPr="00670A17" w:rsidRDefault="00670A17" w:rsidP="00670A17"/>
    <w:p w14:paraId="6B70C515" w14:textId="5D0B2D3E" w:rsidR="00670A17" w:rsidRPr="00670A17" w:rsidRDefault="00670A17" w:rsidP="00670A17">
      <w:pPr>
        <w:numPr>
          <w:ilvl w:val="0"/>
          <w:numId w:val="1"/>
        </w:numPr>
        <w:rPr>
          <w:b/>
          <w:bCs/>
        </w:rPr>
      </w:pPr>
      <w:r w:rsidRPr="00670A17">
        <w:rPr>
          <w:b/>
          <w:bCs/>
        </w:rPr>
        <w:t>Was sind bei den Krankheiten aus der erste</w:t>
      </w:r>
      <w:r w:rsidR="000820E0">
        <w:rPr>
          <w:b/>
          <w:bCs/>
        </w:rPr>
        <w:t>n</w:t>
      </w:r>
      <w:r w:rsidRPr="00670A17">
        <w:rPr>
          <w:b/>
          <w:bCs/>
        </w:rPr>
        <w:t xml:space="preserve"> Frage wichtige Indikatoren, die ein Risiko für die Erkrankung erhöhen?</w:t>
      </w:r>
    </w:p>
    <w:p w14:paraId="6E02556F" w14:textId="77777777" w:rsidR="00670A17" w:rsidRPr="00670A17" w:rsidRDefault="00670A17" w:rsidP="00670A17">
      <w:r w:rsidRPr="00670A17">
        <w:t>3.a) bei den Volkskrankheiten vor allem die Adipositas, Rauchen, Bewegungsmangel und falsche Ernährung.</w:t>
      </w:r>
    </w:p>
    <w:p w14:paraId="6A946E2B" w14:textId="77777777" w:rsidR="00670A17" w:rsidRPr="00670A17" w:rsidRDefault="00670A17" w:rsidP="00670A17">
      <w:r w:rsidRPr="00670A17">
        <w:t>3.b) bei den onkologischen Krankheiten vor allem Rauchen und Alkohol.</w:t>
      </w:r>
    </w:p>
    <w:p w14:paraId="5B5368B9" w14:textId="77777777" w:rsidR="00670A17" w:rsidRPr="00670A17" w:rsidRDefault="00670A17" w:rsidP="00670A17">
      <w:r w:rsidRPr="00670A17">
        <w:t xml:space="preserve">3.c) bei den neurologischen Erkrankungen </w:t>
      </w:r>
      <w:proofErr w:type="spellStart"/>
      <w:r w:rsidRPr="00670A17">
        <w:t>a+b</w:t>
      </w:r>
      <w:proofErr w:type="spellEnd"/>
      <w:r w:rsidRPr="00670A17">
        <w:t>, zusätzlich bei Demenz auch Faktoren wie Schwerhörigkeit, Kontaktarmut, rezidivierende Schädeltraumata, fehlendes Gehirntraining und Luftverschmutzung.</w:t>
      </w:r>
    </w:p>
    <w:p w14:paraId="6D357A3B" w14:textId="77777777" w:rsidR="00E860FA" w:rsidRDefault="00E860FA"/>
    <w:sectPr w:rsidR="00E860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AEF"/>
    <w:multiLevelType w:val="hybridMultilevel"/>
    <w:tmpl w:val="CD747FBA"/>
    <w:lvl w:ilvl="0" w:tplc="0407000F">
      <w:start w:val="1"/>
      <w:numFmt w:val="decimal"/>
      <w:lvlText w:val="%1."/>
      <w:lvlJc w:val="left"/>
      <w:pPr>
        <w:ind w:left="360" w:hanging="360"/>
      </w:pPr>
      <w:rPr>
        <w:rFonts w:eastAsia="Times New Roman"/>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num w:numId="1" w16cid:durableId="2142768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17"/>
    <w:rsid w:val="00041BEC"/>
    <w:rsid w:val="000820E0"/>
    <w:rsid w:val="001518E7"/>
    <w:rsid w:val="00247D67"/>
    <w:rsid w:val="006435C4"/>
    <w:rsid w:val="00670A17"/>
    <w:rsid w:val="006F0B94"/>
    <w:rsid w:val="009844FD"/>
    <w:rsid w:val="00A376AF"/>
    <w:rsid w:val="00BF75E3"/>
    <w:rsid w:val="00C23B2D"/>
    <w:rsid w:val="00CA51F0"/>
    <w:rsid w:val="00E04F10"/>
    <w:rsid w:val="00E860FA"/>
    <w:rsid w:val="00E86FDB"/>
    <w:rsid w:val="00FA1B3A"/>
    <w:rsid w:val="00FB4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D1E6"/>
  <w15:chartTrackingRefBased/>
  <w15:docId w15:val="{C126A26B-FAB6-435D-85EB-7592E7BE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AF"/>
  </w:style>
  <w:style w:type="paragraph" w:styleId="berschrift1">
    <w:name w:val="heading 1"/>
    <w:basedOn w:val="Standard"/>
    <w:next w:val="Standard"/>
    <w:link w:val="berschrift1Zchn"/>
    <w:uiPriority w:val="9"/>
    <w:qFormat/>
    <w:rsid w:val="00670A17"/>
    <w:pPr>
      <w:keepNext/>
      <w:keepLines/>
      <w:spacing w:before="360" w:after="80"/>
      <w:outlineLvl w:val="0"/>
    </w:pPr>
    <w:rPr>
      <w:rFonts w:asciiTheme="majorHAnsi" w:eastAsiaTheme="majorEastAsia" w:hAnsiTheme="majorHAnsi" w:cstheme="majorBidi"/>
      <w:color w:val="00462E" w:themeColor="accent1" w:themeShade="BF"/>
      <w:sz w:val="40"/>
      <w:szCs w:val="40"/>
    </w:rPr>
  </w:style>
  <w:style w:type="paragraph" w:styleId="berschrift2">
    <w:name w:val="heading 2"/>
    <w:basedOn w:val="Standard"/>
    <w:next w:val="Standard"/>
    <w:link w:val="berschrift2Zchn"/>
    <w:uiPriority w:val="9"/>
    <w:semiHidden/>
    <w:unhideWhenUsed/>
    <w:qFormat/>
    <w:rsid w:val="00670A17"/>
    <w:pPr>
      <w:keepNext/>
      <w:keepLines/>
      <w:spacing w:before="160" w:after="80"/>
      <w:outlineLvl w:val="1"/>
    </w:pPr>
    <w:rPr>
      <w:rFonts w:asciiTheme="majorHAnsi" w:eastAsiaTheme="majorEastAsia" w:hAnsiTheme="majorHAnsi" w:cstheme="majorBidi"/>
      <w:color w:val="00462E" w:themeColor="accent1" w:themeShade="BF"/>
      <w:sz w:val="32"/>
      <w:szCs w:val="32"/>
    </w:rPr>
  </w:style>
  <w:style w:type="paragraph" w:styleId="berschrift3">
    <w:name w:val="heading 3"/>
    <w:basedOn w:val="Standard"/>
    <w:next w:val="Standard"/>
    <w:link w:val="berschrift3Zchn"/>
    <w:uiPriority w:val="9"/>
    <w:semiHidden/>
    <w:unhideWhenUsed/>
    <w:qFormat/>
    <w:rsid w:val="00670A17"/>
    <w:pPr>
      <w:keepNext/>
      <w:keepLines/>
      <w:spacing w:before="160" w:after="80"/>
      <w:outlineLvl w:val="2"/>
    </w:pPr>
    <w:rPr>
      <w:rFonts w:eastAsiaTheme="majorEastAsia" w:cstheme="majorBidi"/>
      <w:color w:val="00462E" w:themeColor="accent1" w:themeShade="BF"/>
      <w:sz w:val="28"/>
      <w:szCs w:val="28"/>
    </w:rPr>
  </w:style>
  <w:style w:type="paragraph" w:styleId="berschrift4">
    <w:name w:val="heading 4"/>
    <w:basedOn w:val="Standard"/>
    <w:next w:val="Standard"/>
    <w:link w:val="berschrift4Zchn"/>
    <w:uiPriority w:val="9"/>
    <w:semiHidden/>
    <w:unhideWhenUsed/>
    <w:qFormat/>
    <w:rsid w:val="00670A17"/>
    <w:pPr>
      <w:keepNext/>
      <w:keepLines/>
      <w:spacing w:before="80" w:after="40"/>
      <w:outlineLvl w:val="3"/>
    </w:pPr>
    <w:rPr>
      <w:rFonts w:eastAsiaTheme="majorEastAsia" w:cstheme="majorBidi"/>
      <w:i/>
      <w:iCs/>
      <w:color w:val="00462E" w:themeColor="accent1" w:themeShade="BF"/>
    </w:rPr>
  </w:style>
  <w:style w:type="paragraph" w:styleId="berschrift5">
    <w:name w:val="heading 5"/>
    <w:basedOn w:val="Standard"/>
    <w:next w:val="Standard"/>
    <w:link w:val="berschrift5Zchn"/>
    <w:uiPriority w:val="9"/>
    <w:semiHidden/>
    <w:unhideWhenUsed/>
    <w:qFormat/>
    <w:rsid w:val="00670A17"/>
    <w:pPr>
      <w:keepNext/>
      <w:keepLines/>
      <w:spacing w:before="80" w:after="40"/>
      <w:outlineLvl w:val="4"/>
    </w:pPr>
    <w:rPr>
      <w:rFonts w:eastAsiaTheme="majorEastAsia" w:cstheme="majorBidi"/>
      <w:color w:val="00462E" w:themeColor="accent1" w:themeShade="BF"/>
    </w:rPr>
  </w:style>
  <w:style w:type="paragraph" w:styleId="berschrift6">
    <w:name w:val="heading 6"/>
    <w:basedOn w:val="Standard"/>
    <w:next w:val="Standard"/>
    <w:link w:val="berschrift6Zchn"/>
    <w:uiPriority w:val="9"/>
    <w:semiHidden/>
    <w:unhideWhenUsed/>
    <w:qFormat/>
    <w:rsid w:val="00670A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0A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0A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0A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0A17"/>
    <w:rPr>
      <w:rFonts w:asciiTheme="majorHAnsi" w:eastAsiaTheme="majorEastAsia" w:hAnsiTheme="majorHAnsi" w:cstheme="majorBidi"/>
      <w:color w:val="00462E" w:themeColor="accent1" w:themeShade="BF"/>
      <w:sz w:val="40"/>
      <w:szCs w:val="40"/>
    </w:rPr>
  </w:style>
  <w:style w:type="character" w:customStyle="1" w:styleId="berschrift2Zchn">
    <w:name w:val="Überschrift 2 Zchn"/>
    <w:basedOn w:val="Absatz-Standardschriftart"/>
    <w:link w:val="berschrift2"/>
    <w:uiPriority w:val="9"/>
    <w:semiHidden/>
    <w:rsid w:val="00670A17"/>
    <w:rPr>
      <w:rFonts w:asciiTheme="majorHAnsi" w:eastAsiaTheme="majorEastAsia" w:hAnsiTheme="majorHAnsi" w:cstheme="majorBidi"/>
      <w:color w:val="00462E" w:themeColor="accent1" w:themeShade="BF"/>
      <w:sz w:val="32"/>
      <w:szCs w:val="32"/>
    </w:rPr>
  </w:style>
  <w:style w:type="character" w:customStyle="1" w:styleId="berschrift3Zchn">
    <w:name w:val="Überschrift 3 Zchn"/>
    <w:basedOn w:val="Absatz-Standardschriftart"/>
    <w:link w:val="berschrift3"/>
    <w:uiPriority w:val="9"/>
    <w:semiHidden/>
    <w:rsid w:val="00670A17"/>
    <w:rPr>
      <w:rFonts w:eastAsiaTheme="majorEastAsia" w:cstheme="majorBidi"/>
      <w:color w:val="00462E" w:themeColor="accent1" w:themeShade="BF"/>
      <w:sz w:val="28"/>
      <w:szCs w:val="28"/>
    </w:rPr>
  </w:style>
  <w:style w:type="character" w:customStyle="1" w:styleId="berschrift4Zchn">
    <w:name w:val="Überschrift 4 Zchn"/>
    <w:basedOn w:val="Absatz-Standardschriftart"/>
    <w:link w:val="berschrift4"/>
    <w:uiPriority w:val="9"/>
    <w:semiHidden/>
    <w:rsid w:val="00670A17"/>
    <w:rPr>
      <w:rFonts w:eastAsiaTheme="majorEastAsia" w:cstheme="majorBidi"/>
      <w:i/>
      <w:iCs/>
      <w:color w:val="00462E" w:themeColor="accent1" w:themeShade="BF"/>
    </w:rPr>
  </w:style>
  <w:style w:type="character" w:customStyle="1" w:styleId="berschrift5Zchn">
    <w:name w:val="Überschrift 5 Zchn"/>
    <w:basedOn w:val="Absatz-Standardschriftart"/>
    <w:link w:val="berschrift5"/>
    <w:uiPriority w:val="9"/>
    <w:semiHidden/>
    <w:rsid w:val="00670A17"/>
    <w:rPr>
      <w:rFonts w:eastAsiaTheme="majorEastAsia" w:cstheme="majorBidi"/>
      <w:color w:val="00462E" w:themeColor="accent1" w:themeShade="BF"/>
    </w:rPr>
  </w:style>
  <w:style w:type="character" w:customStyle="1" w:styleId="berschrift6Zchn">
    <w:name w:val="Überschrift 6 Zchn"/>
    <w:basedOn w:val="Absatz-Standardschriftart"/>
    <w:link w:val="berschrift6"/>
    <w:uiPriority w:val="9"/>
    <w:semiHidden/>
    <w:rsid w:val="00670A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0A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0A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0A17"/>
    <w:rPr>
      <w:rFonts w:eastAsiaTheme="majorEastAsia" w:cstheme="majorBidi"/>
      <w:color w:val="272727" w:themeColor="text1" w:themeTint="D8"/>
    </w:rPr>
  </w:style>
  <w:style w:type="paragraph" w:styleId="Titel">
    <w:name w:val="Title"/>
    <w:basedOn w:val="Standard"/>
    <w:next w:val="Standard"/>
    <w:link w:val="TitelZchn"/>
    <w:uiPriority w:val="10"/>
    <w:qFormat/>
    <w:rsid w:val="00670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A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0A1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0A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0A1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70A17"/>
    <w:rPr>
      <w:i/>
      <w:iCs/>
      <w:color w:val="404040" w:themeColor="text1" w:themeTint="BF"/>
    </w:rPr>
  </w:style>
  <w:style w:type="paragraph" w:styleId="Listenabsatz">
    <w:name w:val="List Paragraph"/>
    <w:basedOn w:val="Standard"/>
    <w:uiPriority w:val="34"/>
    <w:qFormat/>
    <w:rsid w:val="00670A17"/>
    <w:pPr>
      <w:ind w:left="720"/>
      <w:contextualSpacing/>
    </w:pPr>
  </w:style>
  <w:style w:type="character" w:styleId="IntensiveHervorhebung">
    <w:name w:val="Intense Emphasis"/>
    <w:basedOn w:val="Absatz-Standardschriftart"/>
    <w:uiPriority w:val="21"/>
    <w:qFormat/>
    <w:rsid w:val="00670A17"/>
    <w:rPr>
      <w:i/>
      <w:iCs/>
      <w:color w:val="00462E" w:themeColor="accent1" w:themeShade="BF"/>
    </w:rPr>
  </w:style>
  <w:style w:type="paragraph" w:styleId="IntensivesZitat">
    <w:name w:val="Intense Quote"/>
    <w:basedOn w:val="Standard"/>
    <w:next w:val="Standard"/>
    <w:link w:val="IntensivesZitatZchn"/>
    <w:uiPriority w:val="30"/>
    <w:qFormat/>
    <w:rsid w:val="00670A17"/>
    <w:pPr>
      <w:pBdr>
        <w:top w:val="single" w:sz="4" w:space="10" w:color="00462E" w:themeColor="accent1" w:themeShade="BF"/>
        <w:bottom w:val="single" w:sz="4" w:space="10" w:color="00462E" w:themeColor="accent1" w:themeShade="BF"/>
      </w:pBdr>
      <w:spacing w:before="360" w:after="360"/>
      <w:ind w:left="864" w:right="864"/>
      <w:jc w:val="center"/>
    </w:pPr>
    <w:rPr>
      <w:i/>
      <w:iCs/>
      <w:color w:val="00462E" w:themeColor="accent1" w:themeShade="BF"/>
    </w:rPr>
  </w:style>
  <w:style w:type="character" w:customStyle="1" w:styleId="IntensivesZitatZchn">
    <w:name w:val="Intensives Zitat Zchn"/>
    <w:basedOn w:val="Absatz-Standardschriftart"/>
    <w:link w:val="IntensivesZitat"/>
    <w:uiPriority w:val="30"/>
    <w:rsid w:val="00670A17"/>
    <w:rPr>
      <w:i/>
      <w:iCs/>
      <w:color w:val="00462E" w:themeColor="accent1" w:themeShade="BF"/>
    </w:rPr>
  </w:style>
  <w:style w:type="character" w:styleId="IntensiverVerweis">
    <w:name w:val="Intense Reference"/>
    <w:basedOn w:val="Absatz-Standardschriftart"/>
    <w:uiPriority w:val="32"/>
    <w:qFormat/>
    <w:rsid w:val="00670A17"/>
    <w:rPr>
      <w:b/>
      <w:bCs/>
      <w:smallCaps/>
      <w:color w:val="00462E" w:themeColor="accent1" w:themeShade="BF"/>
      <w:spacing w:val="5"/>
    </w:rPr>
  </w:style>
  <w:style w:type="paragraph" w:styleId="berarbeitung">
    <w:name w:val="Revision"/>
    <w:hidden/>
    <w:uiPriority w:val="99"/>
    <w:semiHidden/>
    <w:rsid w:val="006435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84595">
      <w:bodyDiv w:val="1"/>
      <w:marLeft w:val="0"/>
      <w:marRight w:val="0"/>
      <w:marTop w:val="0"/>
      <w:marBottom w:val="0"/>
      <w:divBdr>
        <w:top w:val="none" w:sz="0" w:space="0" w:color="auto"/>
        <w:left w:val="none" w:sz="0" w:space="0" w:color="auto"/>
        <w:bottom w:val="none" w:sz="0" w:space="0" w:color="auto"/>
        <w:right w:val="none" w:sz="0" w:space="0" w:color="auto"/>
      </w:divBdr>
    </w:div>
    <w:div w:id="807552264">
      <w:bodyDiv w:val="1"/>
      <w:marLeft w:val="0"/>
      <w:marRight w:val="0"/>
      <w:marTop w:val="0"/>
      <w:marBottom w:val="0"/>
      <w:divBdr>
        <w:top w:val="none" w:sz="0" w:space="0" w:color="auto"/>
        <w:left w:val="none" w:sz="0" w:space="0" w:color="auto"/>
        <w:bottom w:val="none" w:sz="0" w:space="0" w:color="auto"/>
        <w:right w:val="none" w:sz="0" w:space="0" w:color="auto"/>
      </w:divBdr>
    </w:div>
    <w:div w:id="1262643198">
      <w:bodyDiv w:val="1"/>
      <w:marLeft w:val="0"/>
      <w:marRight w:val="0"/>
      <w:marTop w:val="0"/>
      <w:marBottom w:val="0"/>
      <w:divBdr>
        <w:top w:val="none" w:sz="0" w:space="0" w:color="auto"/>
        <w:left w:val="none" w:sz="0" w:space="0" w:color="auto"/>
        <w:bottom w:val="none" w:sz="0" w:space="0" w:color="auto"/>
        <w:right w:val="none" w:sz="0" w:space="0" w:color="auto"/>
      </w:divBdr>
    </w:div>
    <w:div w:id="1306425795">
      <w:bodyDiv w:val="1"/>
      <w:marLeft w:val="0"/>
      <w:marRight w:val="0"/>
      <w:marTop w:val="0"/>
      <w:marBottom w:val="0"/>
      <w:divBdr>
        <w:top w:val="none" w:sz="0" w:space="0" w:color="auto"/>
        <w:left w:val="none" w:sz="0" w:space="0" w:color="auto"/>
        <w:bottom w:val="none" w:sz="0" w:space="0" w:color="auto"/>
        <w:right w:val="none" w:sz="0" w:space="0" w:color="auto"/>
      </w:divBdr>
    </w:div>
    <w:div w:id="1655720480">
      <w:bodyDiv w:val="1"/>
      <w:marLeft w:val="0"/>
      <w:marRight w:val="0"/>
      <w:marTop w:val="0"/>
      <w:marBottom w:val="0"/>
      <w:divBdr>
        <w:top w:val="none" w:sz="0" w:space="0" w:color="auto"/>
        <w:left w:val="none" w:sz="0" w:space="0" w:color="auto"/>
        <w:bottom w:val="none" w:sz="0" w:space="0" w:color="auto"/>
        <w:right w:val="none" w:sz="0" w:space="0" w:color="auto"/>
      </w:divBdr>
    </w:div>
    <w:div w:id="205365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AOK_Word">
  <a:themeElements>
    <a:clrScheme name="Benutzerdefiniert 8">
      <a:dk1>
        <a:srgbClr val="000000"/>
      </a:dk1>
      <a:lt1>
        <a:srgbClr val="FFFFFF"/>
      </a:lt1>
      <a:dk2>
        <a:srgbClr val="17AB41"/>
      </a:dk2>
      <a:lt2>
        <a:srgbClr val="005E3F"/>
      </a:lt2>
      <a:accent1>
        <a:srgbClr val="005E3F"/>
      </a:accent1>
      <a:accent2>
        <a:srgbClr val="17AB41"/>
      </a:accent2>
      <a:accent3>
        <a:srgbClr val="60D26D"/>
      </a:accent3>
      <a:accent4>
        <a:srgbClr val="07983E"/>
      </a:accent4>
      <a:accent5>
        <a:srgbClr val="35BF50"/>
      </a:accent5>
      <a:accent6>
        <a:srgbClr val="98E692"/>
      </a:accent6>
      <a:hlink>
        <a:srgbClr val="005E3F"/>
      </a:hlink>
      <a:folHlink>
        <a:srgbClr val="18AB4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ot="0" spcFirstLastPara="0" vertOverflow="overflow" horzOverflow="overflow" vert="horz" wrap="square" lIns="108000" tIns="72000" rIns="108000" bIns="72000" numCol="1" spcCol="0" rtlCol="0" fromWordArt="0" anchor="t" anchorCtr="0" forceAA="0" compatLnSpc="1">
        <a:prstTxWarp prst="textNoShape">
          <a:avLst/>
        </a:prstTxWarp>
        <a:noAutofit/>
      </a:bodyPr>
      <a:lstStyle>
        <a:defPPr algn="l">
          <a:defRPr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defRPr dirty="0" smtClean="0"/>
        </a:defPPr>
      </a:lstStyle>
    </a:txDef>
  </a:objectDefaults>
  <a:extraClrSchemeLst/>
  <a:custClrLst>
    <a:custClr name="AOK Hellgrün">
      <a:srgbClr val="50EB5D"/>
    </a:custClr>
    <a:custClr name="Grau 8">
      <a:srgbClr val="40484D"/>
    </a:custClr>
    <a:custClr name="Grau 6">
      <a:srgbClr val="6D767C"/>
    </a:custClr>
    <a:custClr name="Akzentgelb">
      <a:srgbClr val="FFF133"/>
    </a:custClr>
    <a:custClr name="Akzentblau">
      <a:srgbClr val="83EAF2"/>
    </a:custClr>
    <a:custClr name="Interaktivgrün">
      <a:srgbClr val="91F54A"/>
    </a:custClr>
    <a:custClr name="Pastellgrün">
      <a:srgbClr val="EBFAE8"/>
    </a:custClr>
    <a:custClr name="Pastellblau">
      <a:srgbClr val="E8F4F2"/>
    </a:custClr>
    <a:custClr name="Sand">
      <a:srgbClr val="F8F5E3"/>
    </a:custClr>
    <a:custClr name="Fehler">
      <a:srgbClr val="EB0047"/>
    </a:custClr>
    <a:custClr name="Weiß">
      <a:srgbClr val="FFFFFF"/>
    </a:custClr>
    <a:custClr name="Weiß">
      <a:srgbClr val="FFFFFF"/>
    </a:custClr>
    <a:custClr name="Weiß">
      <a:srgbClr val="FFFFFF"/>
    </a:custClr>
    <a:custClr name="Weiß">
      <a:srgbClr val="FFFFFF"/>
    </a:custClr>
    <a:custClr name="Weiß">
      <a:srgbClr val="FFFFFF"/>
    </a:custClr>
    <a:custClr name="Weiß">
      <a:srgbClr val="FFFFFF"/>
    </a:custClr>
    <a:custClr name="Weiß">
      <a:srgbClr val="FFFFFF"/>
    </a:custClr>
    <a:custClr name="Weiß">
      <a:srgbClr val="FFFFFF"/>
    </a:custClr>
    <a:custClr name="Weiß">
      <a:srgbClr val="FFFFFF"/>
    </a:custClr>
    <a:custClr name="Weiß">
      <a:srgbClr val="FFFFFF"/>
    </a:custClr>
    <a:custClr name="Grün 8">
      <a:srgbClr val="005E3F"/>
    </a:custClr>
    <a:custClr name="Grün 4">
      <a:srgbClr val="18AB42"/>
    </a:custClr>
    <a:custClr name="Gelb">
      <a:srgbClr val="F5D954"/>
    </a:custClr>
    <a:custClr name="Hellblau Schatten">
      <a:srgbClr val="52B0BF"/>
    </a:custClr>
    <a:custClr name="Indigo Schatten">
      <a:srgbClr val="0F3580"/>
    </a:custClr>
    <a:custClr name="Violett">
      <a:srgbClr val="8263B0"/>
    </a:custClr>
    <a:custClr name="Orange">
      <a:srgbClr val="FA8C4A"/>
    </a:custClr>
    <a:custClr name="Violett Schatten">
      <a:srgbClr val="613385"/>
    </a:custClr>
    <a:custClr name="Rot">
      <a:srgbClr val="FA545E"/>
    </a:custClr>
    <a:custClr name="Indigo">
      <a:srgbClr val="526FB0"/>
    </a:custClr>
    <a:custClr name="Limette">
      <a:srgbClr val="B8D94A"/>
    </a:custClr>
    <a:custClr name="Rot Schatten">
      <a:srgbClr val="C40D38"/>
    </a:custClr>
    <a:custClr name="Hellblau">
      <a:srgbClr val="94D4DB"/>
    </a:custClr>
    <a:custClr name="Orange Schatten">
      <a:srgbClr val="CC591F"/>
    </a:custClr>
    <a:custClr name="Limette Schatten">
      <a:srgbClr val="8FB824"/>
    </a:custClr>
  </a:custClrLst>
  <a:extLst>
    <a:ext uri="{05A4C25C-085E-4340-85A3-A5531E510DB2}">
      <thm15:themeFamily xmlns:thm15="http://schemas.microsoft.com/office/thememl/2012/main" name="AOK" id="{1D72FDB9-0C59-4B45-9501-65DE51D632C7}" vid="{C7A1B671-63A7-4B69-95E2-CA1C7726B45B}"/>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2777</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AOK Bayern</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Kisslinger, Michaela / 10300010-001</dc:creator>
  <cp:keywords/>
  <dc:description/>
  <cp:lastModifiedBy>Kisslinger, Michaela / 10300010-001</cp:lastModifiedBy>
  <cp:revision>2</cp:revision>
  <dcterms:created xsi:type="dcterms:W3CDTF">2024-10-23T07:54:00Z</dcterms:created>
  <dcterms:modified xsi:type="dcterms:W3CDTF">2024-10-23T07:54:00Z</dcterms:modified>
</cp:coreProperties>
</file>