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EF3FB0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EF3FB0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 w:rsidRPr="00EF3FB0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 w:rsidRPr="00EF3FB0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EF3FB0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фло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 w:rsidRPr="00EF3FB0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F3FB0">
        <w:rPr>
          <w:rFonts w:ascii="Times New Roman" w:hAnsi="Times New Roman" w:cs="Times New Roman"/>
          <w:sz w:val="24"/>
          <w:szCs w:val="24"/>
        </w:rPr>
        <w:t>.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 сектор</w:t>
      </w:r>
      <w:r w:rsidR="008830D8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EF3FB0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Pr="00EF3FB0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Европа е най-големият автомобилен пазар в световен мащаб и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EF3FB0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частни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 w:rsidRPr="00EF3FB0">
        <w:rPr>
          <w:rFonts w:ascii="Times New Roman" w:hAnsi="Times New Roman" w:cs="Times New Roman"/>
          <w:sz w:val="24"/>
          <w:szCs w:val="24"/>
        </w:rPr>
        <w:t>(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регистрират като фирмени </w:t>
      </w:r>
      <w:r w:rsidR="00EE670C" w:rsidRPr="00EF3FB0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 w:rsidRPr="00EF3FB0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Pr="00EF3FB0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 w:rsidRPr="00EF3FB0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 w:rsidRPr="00EF3FB0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 w:rsidRPr="00EF3FB0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 w:rsidRPr="00EF3FB0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EF3FB0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5B4E97" wp14:editId="56E2EA05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Pr="00EF3FB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„Средна обща стойност на собствеността на превозно средство в Европа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 w:rsidR="00BC50F7" w:rsidRPr="00EF3FB0">
        <w:rPr>
          <w:rFonts w:ascii="Times New Roman" w:hAnsi="Times New Roman" w:cs="Times New Roman"/>
          <w:i/>
          <w:sz w:val="24"/>
          <w:szCs w:val="24"/>
        </w:rPr>
        <w:t>1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EF3FB0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 w:rsidRPr="00EF3FB0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EF3FB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 w:rsidRPr="00EF3FB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 w:rsidRPr="00EF3FB0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 w:rsidRPr="00EF3FB0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 w:rsidRPr="00EF3FB0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EF3FB0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 данъчно облагане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 w:rsidRPr="00EF3FB0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Pr="00EF3FB0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 w:rsidRPr="00EF3FB0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EF3FB0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 w:rsidRPr="00EF3FB0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 w:rsidRPr="00EF3FB0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 w:rsidRPr="00EF3FB0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Pr="00EF3FB0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Тези факти мотивират идеята за разработване на система за управление на флотилия от превозни средства, която е насочена към малкия и средния бизнес и обхваща основни функционалности</w:t>
      </w:r>
      <w:r w:rsidR="002F196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EF3FB0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EF3FB0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EF3FB0" w:rsidRDefault="0004164C" w:rsidP="007D037E">
      <w:pPr>
        <w:pStyle w:val="Default"/>
        <w:jc w:val="both"/>
        <w:rPr>
          <w:color w:val="auto"/>
          <w:lang w:val="bg-BG"/>
        </w:rPr>
      </w:pPr>
      <w:proofErr w:type="spellStart"/>
      <w:proofErr w:type="gramStart"/>
      <w:r w:rsidRPr="00EF3FB0">
        <w:rPr>
          <w:color w:val="auto"/>
        </w:rPr>
        <w:t>Целта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настоящата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диплом</w:t>
      </w:r>
      <w:r w:rsidR="008533C3" w:rsidRPr="00EF3FB0">
        <w:rPr>
          <w:color w:val="auto"/>
        </w:rPr>
        <w:t>на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работа</w:t>
      </w:r>
      <w:proofErr w:type="spellEnd"/>
      <w:r w:rsidR="008533C3" w:rsidRPr="00EF3FB0">
        <w:rPr>
          <w:color w:val="auto"/>
        </w:rPr>
        <w:t xml:space="preserve"> е </w:t>
      </w:r>
      <w:proofErr w:type="spellStart"/>
      <w:r w:rsidR="008533C3" w:rsidRPr="00EF3FB0">
        <w:rPr>
          <w:color w:val="auto"/>
        </w:rPr>
        <w:t>да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се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създаде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удобн</w:t>
      </w:r>
      <w:proofErr w:type="spellEnd"/>
      <w:r w:rsidR="008533C3" w:rsidRPr="00EF3FB0">
        <w:rPr>
          <w:color w:val="auto"/>
          <w:lang w:val="bg-BG"/>
        </w:rPr>
        <w:t>а</w:t>
      </w:r>
      <w:r w:rsidR="008533C3" w:rsidRPr="00EF3FB0">
        <w:rPr>
          <w:color w:val="auto"/>
        </w:rPr>
        <w:t xml:space="preserve"> и </w:t>
      </w:r>
      <w:proofErr w:type="spellStart"/>
      <w:r w:rsidR="008533C3" w:rsidRPr="00EF3FB0">
        <w:rPr>
          <w:color w:val="auto"/>
        </w:rPr>
        <w:t>лесн</w:t>
      </w:r>
      <w:proofErr w:type="spellEnd"/>
      <w:r w:rsidR="008533C3" w:rsidRPr="00EF3FB0">
        <w:rPr>
          <w:color w:val="auto"/>
          <w:lang w:val="bg-BG"/>
        </w:rPr>
        <w:t>а</w:t>
      </w:r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за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използване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уеб</w:t>
      </w:r>
      <w:proofErr w:type="spellEnd"/>
      <w:r w:rsidR="008533C3" w:rsidRPr="00EF3FB0">
        <w:rPr>
          <w:color w:val="auto"/>
        </w:rPr>
        <w:t xml:space="preserve"> </w:t>
      </w:r>
      <w:r w:rsidR="00181283" w:rsidRPr="00EF3FB0">
        <w:rPr>
          <w:color w:val="auto"/>
          <w:lang w:val="bg-BG"/>
        </w:rPr>
        <w:t>система</w:t>
      </w:r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r w:rsidRPr="00EF3FB0">
        <w:rPr>
          <w:color w:val="auto"/>
          <w:lang w:val="bg-BG"/>
        </w:rPr>
        <w:t>на флотилия от превозни средства.</w:t>
      </w:r>
      <w:proofErr w:type="gramEnd"/>
    </w:p>
    <w:p w:rsidR="0004164C" w:rsidRPr="00EF3FB0" w:rsidRDefault="0004164C" w:rsidP="007D037E">
      <w:pPr>
        <w:pStyle w:val="Default"/>
        <w:jc w:val="both"/>
        <w:rPr>
          <w:color w:val="auto"/>
          <w:lang w:val="bg-BG"/>
        </w:rPr>
      </w:pPr>
    </w:p>
    <w:p w:rsidR="0004164C" w:rsidRPr="00EF3FB0" w:rsidRDefault="00C843CB" w:rsidP="007D037E">
      <w:pPr>
        <w:pStyle w:val="Default"/>
        <w:jc w:val="both"/>
        <w:rPr>
          <w:color w:val="auto"/>
        </w:rPr>
      </w:pPr>
      <w:r w:rsidRPr="00EF3FB0">
        <w:rPr>
          <w:bCs/>
          <w:color w:val="auto"/>
          <w:lang w:val="bg-BG"/>
        </w:rPr>
        <w:t xml:space="preserve">Определят </w:t>
      </w:r>
      <w:r w:rsidR="00A1581D" w:rsidRPr="00EF3FB0">
        <w:rPr>
          <w:bCs/>
          <w:color w:val="auto"/>
          <w:lang w:val="bg-BG"/>
        </w:rPr>
        <w:t>се</w:t>
      </w:r>
      <w:r w:rsidR="0004164C" w:rsidRPr="00EF3FB0">
        <w:rPr>
          <w:bCs/>
          <w:color w:val="auto"/>
          <w:lang w:val="bg-BG"/>
        </w:rPr>
        <w:t xml:space="preserve"> следните задачи</w:t>
      </w:r>
      <w:r w:rsidR="0004164C" w:rsidRPr="00EF3FB0">
        <w:rPr>
          <w:bCs/>
          <w:color w:val="auto"/>
        </w:rPr>
        <w:t xml:space="preserve">: </w:t>
      </w:r>
    </w:p>
    <w:p w:rsidR="0004164C" w:rsidRPr="00EF3FB0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Да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проектира</w:t>
      </w:r>
      <w:proofErr w:type="spellEnd"/>
      <w:r w:rsidRPr="00EF3FB0">
        <w:rPr>
          <w:color w:val="auto"/>
        </w:rPr>
        <w:t xml:space="preserve"> и </w:t>
      </w:r>
      <w:r w:rsidRPr="00EF3FB0">
        <w:rPr>
          <w:color w:val="auto"/>
          <w:lang w:val="bg-BG"/>
        </w:rPr>
        <w:t xml:space="preserve">разработи </w:t>
      </w:r>
      <w:proofErr w:type="spellStart"/>
      <w:r w:rsidRPr="00EF3FB0">
        <w:rPr>
          <w:color w:val="auto"/>
        </w:rPr>
        <w:t>система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флотилия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превозни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средства</w:t>
      </w:r>
      <w:proofErr w:type="spellEnd"/>
      <w:r w:rsidRPr="00EF3FB0">
        <w:rPr>
          <w:color w:val="auto"/>
          <w:lang w:val="en-US"/>
        </w:rPr>
        <w:t>;</w:t>
      </w:r>
      <w:r w:rsidRPr="00EF3FB0">
        <w:rPr>
          <w:color w:val="auto"/>
        </w:rPr>
        <w:t xml:space="preserve"> </w:t>
      </w:r>
    </w:p>
    <w:p w:rsidR="004A445F" w:rsidRPr="00EF3FB0" w:rsidRDefault="004A445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 w:rsidRPr="00EF3FB0">
        <w:rPr>
          <w:color w:val="auto"/>
          <w:lang w:val="bg-BG"/>
        </w:rPr>
        <w:t>приетите практики за такъв вид софтуер</w:t>
      </w:r>
      <w:r w:rsidRPr="00EF3FB0">
        <w:rPr>
          <w:color w:val="auto"/>
          <w:lang w:val="en-US"/>
        </w:rPr>
        <w:t>;</w:t>
      </w:r>
    </w:p>
    <w:p w:rsidR="0004164C" w:rsidRPr="00EF3FB0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Системата </w:t>
      </w:r>
      <w:proofErr w:type="spellStart"/>
      <w:r w:rsidR="0004164C" w:rsidRPr="00EF3FB0">
        <w:rPr>
          <w:color w:val="auto"/>
        </w:rPr>
        <w:t>ще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предоставя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достъпен</w:t>
      </w:r>
      <w:proofErr w:type="spellEnd"/>
      <w:r w:rsidR="0004164C" w:rsidRPr="00EF3FB0">
        <w:rPr>
          <w:color w:val="auto"/>
        </w:rPr>
        <w:t xml:space="preserve"> и </w:t>
      </w:r>
      <w:proofErr w:type="spellStart"/>
      <w:r w:rsidR="0004164C" w:rsidRPr="00EF3FB0">
        <w:rPr>
          <w:color w:val="auto"/>
        </w:rPr>
        <w:t>интуитивен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уеб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интерфейс</w:t>
      </w:r>
      <w:proofErr w:type="spellEnd"/>
      <w:r w:rsidR="0004164C" w:rsidRPr="00EF3FB0">
        <w:rPr>
          <w:color w:val="auto"/>
          <w:lang w:val="en-US"/>
        </w:rPr>
        <w:t>;</w:t>
      </w:r>
      <w:r w:rsidR="0004164C" w:rsidRPr="00EF3FB0">
        <w:rPr>
          <w:color w:val="auto"/>
        </w:rPr>
        <w:t xml:space="preserve"> </w:t>
      </w:r>
    </w:p>
    <w:p w:rsidR="0005047E" w:rsidRPr="00EF3FB0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Приложението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разполага</w:t>
      </w:r>
      <w:proofErr w:type="spellEnd"/>
      <w:r w:rsidRPr="00EF3FB0">
        <w:rPr>
          <w:color w:val="auto"/>
        </w:rPr>
        <w:t xml:space="preserve"> с </w:t>
      </w:r>
      <w:proofErr w:type="spellStart"/>
      <w:r w:rsidRPr="00EF3FB0">
        <w:rPr>
          <w:color w:val="auto"/>
        </w:rPr>
        <w:t>добре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структурирана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архитектура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позволяваща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лесно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модифициране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разширяване</w:t>
      </w:r>
      <w:proofErr w:type="spellEnd"/>
      <w:r w:rsidRPr="00EF3FB0">
        <w:rPr>
          <w:color w:val="auto"/>
        </w:rPr>
        <w:t xml:space="preserve"> в </w:t>
      </w:r>
      <w:proofErr w:type="spellStart"/>
      <w:r w:rsidRPr="00EF3FB0">
        <w:rPr>
          <w:color w:val="auto"/>
        </w:rPr>
        <w:t>бъдеще</w:t>
      </w:r>
      <w:proofErr w:type="spellEnd"/>
      <w:r w:rsidRPr="00EF3FB0">
        <w:rPr>
          <w:color w:val="auto"/>
        </w:rPr>
        <w:t>;</w:t>
      </w:r>
    </w:p>
    <w:p w:rsidR="008533C3" w:rsidRPr="00EF3FB0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Системата ще позволява интеграция с автомобилна </w:t>
      </w:r>
      <w:proofErr w:type="spellStart"/>
      <w:r w:rsidRPr="00EF3FB0">
        <w:rPr>
          <w:color w:val="auto"/>
          <w:lang w:val="bg-BG"/>
        </w:rPr>
        <w:t>телематика</w:t>
      </w:r>
      <w:proofErr w:type="spellEnd"/>
      <w:r w:rsidRPr="00EF3FB0">
        <w:rPr>
          <w:color w:val="auto"/>
          <w:lang w:val="bg-BG"/>
        </w:rPr>
        <w:t xml:space="preserve"> на различни производители</w:t>
      </w:r>
      <w:r w:rsidRPr="00EF3FB0">
        <w:rPr>
          <w:color w:val="auto"/>
          <w:lang w:val="en-US"/>
        </w:rPr>
        <w:t>;</w:t>
      </w:r>
    </w:p>
    <w:p w:rsidR="008533C3" w:rsidRPr="00EF3FB0" w:rsidRDefault="00B1308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Приложението ще осигурява добро ниво на сигурност спрямо </w:t>
      </w:r>
      <w:proofErr w:type="spellStart"/>
      <w:r w:rsidRPr="00EF3FB0">
        <w:rPr>
          <w:color w:val="auto"/>
          <w:lang w:val="bg-BG"/>
        </w:rPr>
        <w:t>кибер</w:t>
      </w:r>
      <w:proofErr w:type="spellEnd"/>
      <w:r w:rsidRPr="00EF3FB0">
        <w:rPr>
          <w:color w:val="auto"/>
          <w:lang w:val="bg-BG"/>
        </w:rPr>
        <w:t xml:space="preserve"> атаки и защита на данни</w:t>
      </w:r>
      <w:r w:rsidRPr="00EF3FB0">
        <w:rPr>
          <w:color w:val="auto"/>
          <w:lang w:val="en-US"/>
        </w:rPr>
        <w:t>;</w:t>
      </w:r>
    </w:p>
    <w:p w:rsidR="0061769E" w:rsidRPr="00EF3FB0" w:rsidRDefault="006B419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Системата ще има висока производителност</w:t>
      </w:r>
      <w:r w:rsidRPr="00EF3FB0">
        <w:rPr>
          <w:b/>
          <w:color w:val="auto"/>
          <w:lang w:val="bg-BG"/>
        </w:rPr>
        <w:t xml:space="preserve"> </w:t>
      </w:r>
      <w:r w:rsidRPr="00EF3FB0">
        <w:rPr>
          <w:color w:val="auto"/>
          <w:lang w:val="bg-BG"/>
        </w:rPr>
        <w:t>и бързодействие</w:t>
      </w:r>
      <w:r w:rsidRPr="00EF3FB0">
        <w:rPr>
          <w:color w:val="auto"/>
          <w:lang w:val="en-US"/>
        </w:rPr>
        <w:t>;</w:t>
      </w:r>
    </w:p>
    <w:p w:rsidR="0005047E" w:rsidRPr="00EF3FB0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За </w:t>
      </w:r>
      <w:r w:rsidR="00BB6EEB" w:rsidRPr="00EF3FB0">
        <w:rPr>
          <w:color w:val="auto"/>
          <w:lang w:val="bg-BG"/>
        </w:rPr>
        <w:t xml:space="preserve">създаването </w:t>
      </w:r>
      <w:r w:rsidRPr="00EF3FB0">
        <w:rPr>
          <w:color w:val="auto"/>
          <w:lang w:val="bg-BG"/>
        </w:rPr>
        <w:t>на системата ще бъдат използвани актуални</w:t>
      </w:r>
      <w:r w:rsidR="00A421E5" w:rsidRPr="00EF3FB0">
        <w:rPr>
          <w:color w:val="auto"/>
          <w:lang w:val="bg-BG"/>
        </w:rPr>
        <w:t xml:space="preserve"> уеб технологии и тенденции</w:t>
      </w:r>
      <w:r w:rsidR="00BB6EEB" w:rsidRPr="00EF3FB0">
        <w:rPr>
          <w:color w:val="auto"/>
          <w:lang w:val="bg-BG"/>
        </w:rPr>
        <w:t xml:space="preserve"> за разработка</w:t>
      </w:r>
      <w:r w:rsidR="00BB6EEB" w:rsidRPr="00EF3FB0">
        <w:rPr>
          <w:color w:val="auto"/>
          <w:lang w:val="en-US"/>
        </w:rPr>
        <w:t>;</w:t>
      </w:r>
    </w:p>
    <w:p w:rsidR="0005047E" w:rsidRPr="00EF3FB0" w:rsidRDefault="0005047E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За съхраняването на информацията ще бъдат използвани</w:t>
      </w:r>
      <w:r w:rsidRPr="00EF3FB0">
        <w:rPr>
          <w:color w:val="auto"/>
          <w:lang w:val="en-US"/>
        </w:rPr>
        <w:t xml:space="preserve"> </w:t>
      </w:r>
      <w:r w:rsidRPr="00EF3FB0">
        <w:rPr>
          <w:color w:val="auto"/>
          <w:lang w:val="bg-BG"/>
        </w:rPr>
        <w:t>релационни бази от</w:t>
      </w:r>
      <w:r w:rsidRPr="00EF3FB0">
        <w:rPr>
          <w:color w:val="auto"/>
          <w:lang w:val="en-US"/>
        </w:rPr>
        <w:t xml:space="preserve"> </w:t>
      </w:r>
      <w:r w:rsidRPr="00EF3FB0">
        <w:rPr>
          <w:color w:val="auto"/>
          <w:lang w:val="bg-BG"/>
        </w:rPr>
        <w:t>данни</w:t>
      </w:r>
      <w:r w:rsidRPr="00EF3FB0">
        <w:rPr>
          <w:color w:val="auto"/>
          <w:lang w:val="en-US"/>
        </w:rPr>
        <w:t>;</w:t>
      </w:r>
    </w:p>
    <w:p w:rsidR="00F85C33" w:rsidRPr="00EF3FB0" w:rsidRDefault="009364AD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Разработка на инфраструктура</w:t>
      </w:r>
      <w:r w:rsidRPr="00EF3FB0">
        <w:rPr>
          <w:color w:val="auto"/>
          <w:lang w:val="en-US"/>
        </w:rPr>
        <w:t xml:space="preserve"> </w:t>
      </w:r>
      <w:r w:rsidRPr="00EF3FB0">
        <w:rPr>
          <w:color w:val="auto"/>
          <w:lang w:val="bg-BG"/>
        </w:rPr>
        <w:t xml:space="preserve">за генериране на подходящи данни, заместваща автомобилната </w:t>
      </w:r>
      <w:proofErr w:type="spellStart"/>
      <w:r w:rsidRPr="00EF3FB0">
        <w:rPr>
          <w:color w:val="auto"/>
          <w:lang w:val="bg-BG"/>
        </w:rPr>
        <w:t>телематика</w:t>
      </w:r>
      <w:proofErr w:type="spellEnd"/>
      <w:r w:rsidRPr="00EF3FB0">
        <w:rPr>
          <w:color w:val="auto"/>
          <w:lang w:val="en-US"/>
        </w:rPr>
        <w:t>;</w:t>
      </w:r>
    </w:p>
    <w:p w:rsidR="00D807B2" w:rsidRPr="00EF3FB0" w:rsidRDefault="00D807B2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Приложението ще предоставя възможност за</w:t>
      </w:r>
      <w:r w:rsidRPr="00EF3FB0">
        <w:rPr>
          <w:color w:val="auto"/>
          <w:lang w:val="en-US"/>
        </w:rPr>
        <w:t>:</w:t>
      </w:r>
      <w:r w:rsidR="0004164C" w:rsidRPr="00EF3FB0">
        <w:rPr>
          <w:color w:val="auto"/>
        </w:rPr>
        <w:t xml:space="preserve"> </w:t>
      </w:r>
      <w:r w:rsidRPr="00EF3FB0">
        <w:rPr>
          <w:color w:val="auto"/>
        </w:rPr>
        <w:t xml:space="preserve"> </w:t>
      </w:r>
    </w:p>
    <w:p w:rsidR="00D807B2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Регистрация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вписване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потребители</w:t>
      </w:r>
      <w:proofErr w:type="spellEnd"/>
      <w:r w:rsidRPr="00EF3FB0">
        <w:rPr>
          <w:color w:val="auto"/>
        </w:rPr>
        <w:t xml:space="preserve">; </w:t>
      </w:r>
    </w:p>
    <w:p w:rsidR="00D807B2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регистриран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</w:t>
      </w:r>
      <w:proofErr w:type="spellEnd"/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включва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възможности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r w:rsidRPr="00EF3FB0">
        <w:rPr>
          <w:color w:val="auto"/>
          <w:lang w:val="bg-BG"/>
        </w:rPr>
        <w:t>преглед</w:t>
      </w:r>
      <w:r w:rsidRPr="00EF3FB0">
        <w:rPr>
          <w:color w:val="auto"/>
          <w:lang w:val="en-US"/>
        </w:rPr>
        <w:t>,</w:t>
      </w:r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създаване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редактиране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изтриване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</w:t>
      </w:r>
      <w:proofErr w:type="spellEnd"/>
      <w:r w:rsidRPr="00EF3FB0">
        <w:rPr>
          <w:color w:val="auto"/>
        </w:rPr>
        <w:t xml:space="preserve">, а </w:t>
      </w:r>
      <w:proofErr w:type="spellStart"/>
      <w:r w:rsidRPr="00EF3FB0">
        <w:rPr>
          <w:color w:val="auto"/>
        </w:rPr>
        <w:t>също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осигуряване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достъп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други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оторизирани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данните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компанията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нейните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превозни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средства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шофьори</w:t>
      </w:r>
      <w:proofErr w:type="spellEnd"/>
      <w:r w:rsidRPr="00EF3FB0">
        <w:rPr>
          <w:color w:val="auto"/>
        </w:rPr>
        <w:t xml:space="preserve">; </w:t>
      </w:r>
    </w:p>
    <w:p w:rsidR="00D807B2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превозни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средства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шофьори</w:t>
      </w:r>
      <w:proofErr w:type="spellEnd"/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функционалности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r w:rsidRPr="00EF3FB0">
        <w:rPr>
          <w:color w:val="auto"/>
          <w:lang w:val="bg-BG"/>
        </w:rPr>
        <w:t>преглед,</w:t>
      </w:r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създаване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редактиране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изтриване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автомобили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шофьори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към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оторизиран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</w:t>
      </w:r>
      <w:proofErr w:type="spellEnd"/>
      <w:r w:rsidRPr="00EF3FB0">
        <w:rPr>
          <w:color w:val="auto"/>
        </w:rPr>
        <w:t xml:space="preserve">; </w:t>
      </w:r>
    </w:p>
    <w:p w:rsidR="0093010F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Модул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поддръжка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автомобилите</w:t>
      </w:r>
      <w:proofErr w:type="spellEnd"/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възможност</w:t>
      </w:r>
      <w:proofErr w:type="spellEnd"/>
      <w:r w:rsidRPr="00EF3FB0">
        <w:rPr>
          <w:color w:val="auto"/>
        </w:rPr>
        <w:t xml:space="preserve"> </w:t>
      </w:r>
      <w:r w:rsidR="00906638" w:rsidRPr="00EF3FB0">
        <w:rPr>
          <w:color w:val="auto"/>
          <w:lang w:val="bg-BG"/>
        </w:rPr>
        <w:t>за преглед, създаване</w:t>
      </w:r>
      <w:r w:rsidR="00906638" w:rsidRPr="00EF3FB0">
        <w:rPr>
          <w:color w:val="auto"/>
          <w:lang w:val="en-US"/>
        </w:rPr>
        <w:t xml:space="preserve">, </w:t>
      </w:r>
      <w:proofErr w:type="spellStart"/>
      <w:r w:rsidR="00906638" w:rsidRPr="00EF3FB0">
        <w:rPr>
          <w:color w:val="auto"/>
          <w:lang w:val="bg-BG"/>
        </w:rPr>
        <w:t>редактирене</w:t>
      </w:r>
      <w:proofErr w:type="spellEnd"/>
      <w:r w:rsidR="00906638" w:rsidRPr="00EF3FB0">
        <w:rPr>
          <w:color w:val="auto"/>
          <w:lang w:val="en-US"/>
        </w:rPr>
        <w:t xml:space="preserve">, </w:t>
      </w:r>
      <w:r w:rsidR="00906638" w:rsidRPr="00EF3FB0">
        <w:rPr>
          <w:color w:val="auto"/>
          <w:lang w:val="bg-BG"/>
        </w:rPr>
        <w:t>изтриване</w:t>
      </w:r>
      <w:r w:rsidR="00906638" w:rsidRPr="00EF3FB0">
        <w:rPr>
          <w:color w:val="auto"/>
          <w:lang w:val="en-US"/>
        </w:rPr>
        <w:t xml:space="preserve"> </w:t>
      </w:r>
      <w:r w:rsidR="00906638" w:rsidRPr="00EF3FB0">
        <w:rPr>
          <w:color w:val="auto"/>
          <w:lang w:val="bg-BG"/>
        </w:rPr>
        <w:t xml:space="preserve">и </w:t>
      </w:r>
      <w:proofErr w:type="gramStart"/>
      <w:r w:rsidR="00906638" w:rsidRPr="00EF3FB0">
        <w:rPr>
          <w:color w:val="auto"/>
          <w:lang w:val="bg-BG"/>
        </w:rPr>
        <w:t>филтрация  на</w:t>
      </w:r>
      <w:proofErr w:type="gramEnd"/>
      <w:r w:rsidR="00906638" w:rsidRPr="00EF3FB0">
        <w:rPr>
          <w:color w:val="auto"/>
          <w:lang w:val="bg-BG"/>
        </w:rPr>
        <w:t xml:space="preserve"> </w:t>
      </w:r>
      <w:proofErr w:type="spellStart"/>
      <w:r w:rsidRPr="00EF3FB0">
        <w:rPr>
          <w:color w:val="auto"/>
        </w:rPr>
        <w:t>дейности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поддръжката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автомобилите</w:t>
      </w:r>
      <w:proofErr w:type="spellEnd"/>
      <w:r w:rsidRPr="00EF3FB0">
        <w:rPr>
          <w:color w:val="auto"/>
        </w:rPr>
        <w:t xml:space="preserve"> (</w:t>
      </w:r>
      <w:proofErr w:type="spellStart"/>
      <w:r w:rsidRPr="00EF3FB0">
        <w:rPr>
          <w:color w:val="auto"/>
        </w:rPr>
        <w:t>например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като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смяна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масло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ангренажен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ремък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други</w:t>
      </w:r>
      <w:proofErr w:type="spellEnd"/>
      <w:r w:rsidRPr="00EF3FB0">
        <w:rPr>
          <w:color w:val="auto"/>
        </w:rPr>
        <w:t xml:space="preserve">). </w:t>
      </w:r>
      <w:proofErr w:type="spellStart"/>
      <w:r w:rsidRPr="00EF3FB0">
        <w:rPr>
          <w:color w:val="auto"/>
        </w:rPr>
        <w:t>Въз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основа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посочени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тях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интервали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време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или</w:t>
      </w:r>
      <w:proofErr w:type="spellEnd"/>
      <w:r w:rsidR="0093010F" w:rsidRPr="00EF3FB0">
        <w:rPr>
          <w:color w:val="auto"/>
          <w:lang w:val="bg-BG"/>
        </w:rPr>
        <w:t xml:space="preserve"> километри</w:t>
      </w:r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могат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следят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наближаващите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дейности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поддръжката</w:t>
      </w:r>
      <w:proofErr w:type="spellEnd"/>
      <w:r w:rsidR="002C1B5A" w:rsidRPr="00EF3FB0">
        <w:rPr>
          <w:color w:val="auto"/>
          <w:lang w:val="bg-BG"/>
        </w:rPr>
        <w:t xml:space="preserve"> и да получават нотификации при просрочването им</w:t>
      </w:r>
      <w:r w:rsidR="0093010F" w:rsidRPr="00EF3FB0">
        <w:rPr>
          <w:color w:val="auto"/>
          <w:lang w:val="en-US"/>
        </w:rPr>
        <w:t>;</w:t>
      </w:r>
    </w:p>
    <w:p w:rsidR="0004164C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Модул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преглед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основни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характеристики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="0093010F" w:rsidRPr="00EF3FB0">
        <w:rPr>
          <w:color w:val="auto"/>
          <w:lang w:val="bg-BG"/>
        </w:rPr>
        <w:t>презвозните</w:t>
      </w:r>
      <w:proofErr w:type="spellEnd"/>
      <w:r w:rsidR="0093010F" w:rsidRPr="00EF3FB0">
        <w:rPr>
          <w:color w:val="auto"/>
          <w:lang w:val="bg-BG"/>
        </w:rPr>
        <w:t xml:space="preserve"> средства </w:t>
      </w:r>
      <w:r w:rsidRPr="00EF3FB0">
        <w:rPr>
          <w:color w:val="auto"/>
        </w:rPr>
        <w:t xml:space="preserve">в </w:t>
      </w:r>
      <w:proofErr w:type="spellStart"/>
      <w:r w:rsidRPr="00EF3FB0">
        <w:rPr>
          <w:color w:val="auto"/>
        </w:rPr>
        <w:t>реално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време</w:t>
      </w:r>
      <w:proofErr w:type="spellEnd"/>
      <w:r w:rsidR="00D46B99" w:rsidRPr="00EF3FB0">
        <w:rPr>
          <w:color w:val="auto"/>
          <w:lang w:val="bg-BG"/>
        </w:rPr>
        <w:t xml:space="preserve"> и за изминал период</w:t>
      </w:r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включва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репорти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базирани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данните</w:t>
      </w:r>
      <w:proofErr w:type="spellEnd"/>
      <w:r w:rsidRPr="00EF3FB0">
        <w:rPr>
          <w:color w:val="auto"/>
        </w:rPr>
        <w:t xml:space="preserve"> </w:t>
      </w:r>
      <w:proofErr w:type="spellStart"/>
      <w:proofErr w:type="gram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r w:rsidR="0093010F" w:rsidRPr="00EF3FB0">
        <w:rPr>
          <w:color w:val="auto"/>
          <w:lang w:val="bg-BG"/>
        </w:rPr>
        <w:t xml:space="preserve"> автомобилната</w:t>
      </w:r>
      <w:proofErr w:type="gramEnd"/>
      <w:r w:rsidR="002C1B5A" w:rsidRPr="00EF3FB0">
        <w:rPr>
          <w:color w:val="auto"/>
          <w:lang w:val="bg-BG"/>
        </w:rPr>
        <w:t xml:space="preserve"> </w:t>
      </w:r>
      <w:proofErr w:type="spellStart"/>
      <w:r w:rsidR="002C1B5A" w:rsidRPr="00EF3FB0">
        <w:rPr>
          <w:color w:val="auto"/>
          <w:lang w:val="bg-BG"/>
        </w:rPr>
        <w:t>телематика</w:t>
      </w:r>
      <w:proofErr w:type="spellEnd"/>
      <w:r w:rsidRPr="00EF3FB0">
        <w:rPr>
          <w:color w:val="auto"/>
        </w:rPr>
        <w:t xml:space="preserve">. </w:t>
      </w:r>
      <w:proofErr w:type="spellStart"/>
      <w:r w:rsidRPr="00EF3FB0">
        <w:rPr>
          <w:color w:val="auto"/>
        </w:rPr>
        <w:t>Например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такива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бъдат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репорти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нивото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горивото</w:t>
      </w:r>
      <w:proofErr w:type="spellEnd"/>
      <w:r w:rsidR="00D46B99" w:rsidRPr="00EF3FB0">
        <w:rPr>
          <w:color w:val="auto"/>
          <w:lang w:val="bg-BG"/>
        </w:rPr>
        <w:t xml:space="preserve"> и </w:t>
      </w:r>
      <w:proofErr w:type="spellStart"/>
      <w:r w:rsidR="00D46B99" w:rsidRPr="00EF3FB0">
        <w:rPr>
          <w:color w:val="auto"/>
        </w:rPr>
        <w:t>километр</w:t>
      </w:r>
      <w:r w:rsidR="00D46B99" w:rsidRPr="00EF3FB0">
        <w:rPr>
          <w:color w:val="auto"/>
          <w:lang w:val="bg-BG"/>
        </w:rPr>
        <w:t>ажа</w:t>
      </w:r>
      <w:proofErr w:type="spellEnd"/>
      <w:r w:rsidR="00D46B99" w:rsidRPr="00EF3FB0">
        <w:rPr>
          <w:color w:val="auto"/>
          <w:lang w:val="bg-BG"/>
        </w:rPr>
        <w:t xml:space="preserve"> в реално време и за седмица назад</w:t>
      </w:r>
      <w:r w:rsidRPr="00EF3FB0">
        <w:rPr>
          <w:color w:val="auto"/>
        </w:rPr>
        <w:t>;</w:t>
      </w:r>
    </w:p>
    <w:p w:rsidR="002D2EEC" w:rsidRPr="00EF3FB0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EF3FB0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EF3FB0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EF3F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EF3FB0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EF3FB0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EF3FB0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EF3FB0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EF3FB0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EF3FB0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EF3FB0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EF3FB0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EF3FB0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EF3FB0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EF3FB0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EF3FB0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EF3FB0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EF3FB0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EF3FB0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EF3FB0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EF3FB0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EF3FB0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EF3FB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EF3FB0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EF3FB0">
        <w:rPr>
          <w:rFonts w:ascii="Times New Roman" w:hAnsi="Times New Roman" w:cs="Times New Roman"/>
          <w:sz w:val="24"/>
          <w:szCs w:val="24"/>
        </w:rPr>
        <w:t>;</w:t>
      </w:r>
    </w:p>
    <w:p w:rsidR="00755B71" w:rsidRPr="00EF3FB0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EF3FB0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EF3FB0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EF3FB0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EF3FB0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EF3FB0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могат да отделят повече </w:t>
      </w:r>
      <w:r w:rsidR="00BA73F7" w:rsidRPr="00EF3FB0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 w:rsidRPr="00EF3FB0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 w:rsidRPr="00EF3FB0">
        <w:rPr>
          <w:rFonts w:ascii="Times New Roman" w:hAnsi="Times New Roman" w:cs="Times New Roman"/>
          <w:sz w:val="24"/>
          <w:szCs w:val="24"/>
        </w:rPr>
        <w:t>;</w:t>
      </w:r>
    </w:p>
    <w:p w:rsidR="00A273B0" w:rsidRPr="00EF3FB0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 w:rsidRPr="00EF3FB0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 w:rsidRPr="00EF3FB0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EF3FB0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EF3FB0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 Преглед на областта управление на</w:t>
      </w:r>
      <w:r w:rsidR="00BE2FB4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EF3FB0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EF3FB0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 w:rsidRPr="00EF3FB0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EF3FB0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EF3FB0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EF3FB0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EF3FB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 w:rsidRPr="00EF3FB0">
        <w:rPr>
          <w:rFonts w:ascii="Times New Roman" w:hAnsi="Times New Roman" w:cs="Times New Roman"/>
          <w:b/>
          <w:sz w:val="24"/>
          <w:szCs w:val="24"/>
        </w:rPr>
        <w:t>4</w:t>
      </w:r>
      <w:r w:rsidR="00FE51E6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EF3FB0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 w:rsidRPr="00EF3FB0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EF3FB0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EF3FB0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452993" w:rsidRPr="00EF3FB0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 w:rsidRPr="00EF3FB0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 w:rsidRPr="00EF3FB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 w:rsidRPr="00EF3FB0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EF3FB0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автомобилен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парк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 w:rsidRPr="00EF3FB0"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proofErr w:type="spellEnd"/>
      <w:r w:rsidR="0017396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предимно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големи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корпорации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голям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авто</w:t>
      </w:r>
      <w:r w:rsidR="000B342D" w:rsidRPr="00EF3FB0">
        <w:rPr>
          <w:rFonts w:ascii="Times New Roman" w:hAnsi="Times New Roman" w:cs="Times New Roman"/>
          <w:sz w:val="24"/>
          <w:szCs w:val="24"/>
          <w:lang w:val="en-US"/>
        </w:rPr>
        <w:t>пар</w:t>
      </w:r>
      <w:proofErr w:type="spellEnd"/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 w:rsidRPr="00EF3FB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целия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жизнен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цикъл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вкл</w:t>
      </w:r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ючително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покупка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финансиране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препродажба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прекратяване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договора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66B01" w:rsidRPr="00EF3FB0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EF3FB0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6960DB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EF3FB0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EF3FB0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EF3FB0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EF3FB0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FE51E6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Pr="00EF3FB0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EF3FB0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EF3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Pr="00EF3FB0" w:rsidRDefault="008E0A85" w:rsidP="008E0A85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Тъй като терминът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 използва предимно в рамките на автомобилния сектор,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 изложението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дипломната работа понятията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автомобилна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ще бъдат отъждествени.</w:t>
      </w:r>
    </w:p>
    <w:p w:rsidR="008E0A85" w:rsidRPr="00EF3FB0" w:rsidRDefault="008E0A85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C2E51" w:rsidRPr="008C2E51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2.1.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proofErr w:type="gram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 w:rsidRPr="00EF3FB0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9E601A" w:rsidRPr="00EF3FB0" w:rsidRDefault="008C2E5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Общата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стойност на собствеността включва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всички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разходи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които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настъп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ват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през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жизнения цикъл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определени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видове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активи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Тя обхваща разходите за покупка и всички ра</w:t>
      </w:r>
      <w:r w:rsidR="007E1850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зходи, свързани с тяхното притежание и използване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64F1F" w:rsidRPr="00EF3FB0" w:rsidRDefault="00E64F1F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0678A0" w:rsidRPr="00EF3FB0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2.2.</w:t>
      </w:r>
      <w:r w:rsidR="00687754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Принцип на работа на </w:t>
      </w:r>
      <w:proofErr w:type="spellStart"/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елематика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та</w:t>
      </w:r>
      <w:proofErr w:type="spellEnd"/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BA6CE7" w:rsidRPr="00EF3FB0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A6CE7" w:rsidRPr="00EF3FB0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2.2.1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Система</w:t>
      </w:r>
      <w:proofErr w:type="gramEnd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за глобално позициониране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[9]</w:t>
      </w:r>
    </w:p>
    <w:p w:rsidR="000E3DB6" w:rsidRPr="00EF3FB0" w:rsidRDefault="000E3DB6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B629C7" w:rsidRPr="00EF3FB0" w:rsidRDefault="000E3DB6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Съществуването 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без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глобалната система за позициониране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e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невъзможно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Поради това, за </w:t>
      </w:r>
      <w:proofErr w:type="spellStart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бъде разбран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 работата на</w:t>
      </w:r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телематиката</w:t>
      </w:r>
      <w:proofErr w:type="spellEnd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 необходимо </w:t>
      </w:r>
      <w:r w:rsidR="004B3739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да се познава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начинът, по който функционира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</w:p>
    <w:p w:rsidR="009E601A" w:rsidRPr="00EF3FB0" w:rsidRDefault="009E601A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Pr="00EF3FB0" w:rsidRDefault="00FA65B6" w:rsidP="00DF5B6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GPS </w:t>
      </w:r>
      <w:proofErr w:type="spellStart"/>
      <w:proofErr w:type="gram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технологията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proofErr w:type="gram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разработена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американските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военни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сили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разпознаване на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позицията на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йниците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техните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превозни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средства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врагове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наблюд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ение</w:t>
      </w:r>
      <w:proofErr w:type="spellEnd"/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движенията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им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Към момента т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ова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единствената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напълно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онираща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сателитна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навигационна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F5B63" w:rsidRPr="00EF3FB0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Pr="00EF3FB0" w:rsidRDefault="00B629C7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Системата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включва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DF5B63" w:rsidRPr="00EF3FB0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ателитна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мрежа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–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истема от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над 20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спътници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със соларно захранване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EF3FB0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</w:t>
      </w:r>
      <w:proofErr w:type="spellStart"/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аземни</w:t>
      </w:r>
      <w:proofErr w:type="spellEnd"/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онни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станции</w:t>
      </w:r>
      <w:proofErr w:type="spellEnd"/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Използват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се за следене дали спътниците не изменят своята орбита на движение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EF3FB0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риемници</w:t>
      </w:r>
      <w:proofErr w:type="spellEnd"/>
      <w:r w:rsidR="00151C4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120FFE" w:rsidRPr="00EF3FB0" w:rsidRDefault="00FA65B6" w:rsidP="00DF5B63">
      <w:pPr>
        <w:pStyle w:val="a3"/>
        <w:shd w:val="clear" w:color="auto" w:fill="F5F5F5"/>
        <w:spacing w:after="0" w:line="240" w:lineRule="auto"/>
        <w:ind w:left="783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</w:p>
    <w:p w:rsidR="00120FFE" w:rsidRPr="00EF3FB0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Чрез тях 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могат да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определят географската ширина и дължина на приемника</w:t>
      </w:r>
    </w:p>
    <w:p w:rsidR="00120FFE" w:rsidRPr="00EF3FB0" w:rsidRDefault="00120FFE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на Земята чрез изчисляване на времевата разлика за достигане на сигнали от различни спътници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 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приемника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  <w:r w:rsidR="00D9500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риемник</w:t>
      </w:r>
      <w:r w:rsidR="00D9500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ът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изчислява позицията си чрез изм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ерване на разстоянието от него до </w:t>
      </w:r>
      <w:r w:rsidR="00D472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поне три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спътника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Измерване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закъснение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между предаването и приемането на всеки радио сигнал позволява изчисляването на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разсто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янието до всеки спътник, защото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сигналът се движи с известна скорост.</w:t>
      </w:r>
      <w:r w:rsidR="00D472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Чрез използването на четвърти спътник може да бъде пресметната и надморската височина на приемника. </w:t>
      </w:r>
    </w:p>
    <w:p w:rsidR="00120FFE" w:rsidRPr="00EF3FB0" w:rsidRDefault="00A8707B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340605" w:rsidRPr="00EF3FB0" w:rsidRDefault="00340605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Ако превозното средство не е фабрично оборудвано с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GPS,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съществуват следните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възможности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 инсталация</w:t>
      </w:r>
      <w:r w:rsidR="00B450CD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450C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впоследствие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9E601A" w:rsidRPr="00EF3FB0" w:rsidRDefault="009E601A" w:rsidP="009E60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9E601A" w:rsidRPr="00EF3FB0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Преносим GPS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приемникът е монтиран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върху табло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на превозното средство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се захранва от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запалката на автомобила.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опция е евтина и позволява лесно демонтиране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9E601A" w:rsidRPr="00EF3FB0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Оригинално заводско оборудва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Производителите на автомобили предлагат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допълнителна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 на GPS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за онези превозни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средства, които нямат фабрична такав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Осн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овната полза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от това решение е, че инсталацията е съгласно фабричен стандарт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A35EC" w:rsidRPr="00EF3FB0" w:rsidRDefault="006E143A" w:rsidP="008C2E51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GPS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устройства</w:t>
      </w:r>
      <w:r w:rsidR="00CF7BC4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от производителите</w:t>
      </w:r>
      <w:r w:rsidR="00BD35B0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F58D4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BD35B0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едица производители доставят GPS устройства, които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да бъдат трайно интегрирани в превозното средство.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Подходящо място за така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 DIN слот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радио или 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CD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Негови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предимства са по-добрият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визуален 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вид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 сравнение с преносимо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 и по-ниска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цена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от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на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фабрично инсталирания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2C10FA" w:rsidRPr="00EF3FB0" w:rsidRDefault="002C10FA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>2.2.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2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82202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Принцип</w:t>
      </w:r>
      <w:proofErr w:type="gramEnd"/>
      <w:r w:rsidR="0082202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на работа на </w:t>
      </w:r>
      <w:proofErr w:type="spellStart"/>
      <w:r w:rsidR="00653552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телематика</w:t>
      </w:r>
      <w:r w:rsidR="0082202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та</w:t>
      </w:r>
      <w:proofErr w:type="spellEnd"/>
      <w:r w:rsidR="00653552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653552" w:rsidRPr="00EF3FB0" w:rsidRDefault="00653552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71509F" w:rsidRPr="00EF3FB0" w:rsidRDefault="00653552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Трудно е да се намери универсално определение за термина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Дефинициите варират в зависимост от източника на информация.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би една от най-простите дефиниции е тази на Денис </w:t>
      </w:r>
      <w:proofErr w:type="spellStart"/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Фой</w:t>
      </w:r>
      <w:proofErr w:type="spellEnd"/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който разглежда понятието изцяло в контекста на автомобилната индустрия. С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поред </w:t>
      </w:r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не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нищо повече от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предаването на полезна информация от и към превозното средство.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71509F" w:rsidRPr="00EF3FB0" w:rsidRDefault="0071509F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20880" w:rsidRPr="00EF3FB0" w:rsidRDefault="006B1231" w:rsidP="007150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 помощта на тази кратка дефиниция лесно се забелязва и 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разликата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между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навигационни системи.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Телематичните</w:t>
      </w:r>
      <w:proofErr w:type="spellEnd"/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системи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използва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GPS технология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предоставяне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разнообразни услуги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авигация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 е просто една от тези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услуги.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</w:t>
      </w:r>
      <w:proofErr w:type="spellStart"/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proofErr w:type="spellEnd"/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2.</w:t>
      </w:r>
    </w:p>
    <w:p w:rsidR="00BA6CE7" w:rsidRPr="008C2E51" w:rsidRDefault="0071509F" w:rsidP="00D208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2B8837" wp14:editId="5A156A9D">
            <wp:extent cx="5732890" cy="5939625"/>
            <wp:effectExtent l="0" t="0" r="1270" b="4445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51" w:rsidRPr="00EF3FB0" w:rsidRDefault="00175A0E" w:rsidP="005B7D6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 xml:space="preserve">Приложения на </w:t>
      </w:r>
      <w:proofErr w:type="spellStart"/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та</w:t>
      </w:r>
      <w:proofErr w:type="spellEnd"/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[7]</w:t>
      </w: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bg-BG"/>
        </w:rPr>
        <w:lastRenderedPageBreak/>
        <w:t>Телематичните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системи работят на следния принцип</w:t>
      </w:r>
      <w:r w:rsidR="00DC48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C4896">
        <w:rPr>
          <w:rFonts w:ascii="Times New Roman" w:hAnsi="Times New Roman" w:cs="Times New Roman"/>
          <w:sz w:val="24"/>
          <w:szCs w:val="24"/>
          <w:lang w:val="bg-BG"/>
        </w:rPr>
        <w:t>Фигура 10</w:t>
      </w:r>
      <w:r w:rsidR="00DC489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F3FB0">
        <w:rPr>
          <w:rFonts w:ascii="Times New Roman" w:hAnsi="Times New Roman" w:cs="Times New Roman"/>
          <w:sz w:val="24"/>
          <w:szCs w:val="24"/>
        </w:rPr>
        <w:t xml:space="preserve"> [6], [</w:t>
      </w:r>
      <w:r w:rsidR="00B762D1" w:rsidRPr="00EF3FB0">
        <w:rPr>
          <w:rFonts w:ascii="Times New Roman" w:hAnsi="Times New Roman" w:cs="Times New Roman"/>
          <w:sz w:val="24"/>
          <w:szCs w:val="24"/>
        </w:rPr>
        <w:t>9</w:t>
      </w:r>
      <w:r w:rsidRPr="00EF3FB0">
        <w:rPr>
          <w:rFonts w:ascii="Times New Roman" w:hAnsi="Times New Roman" w:cs="Times New Roman"/>
          <w:sz w:val="24"/>
          <w:szCs w:val="24"/>
        </w:rPr>
        <w:t>]</w:t>
      </w:r>
      <w:r w:rsidR="00B762D1" w:rsidRPr="00EF3FB0">
        <w:rPr>
          <w:rFonts w:ascii="Times New Roman" w:hAnsi="Times New Roman" w:cs="Times New Roman"/>
          <w:sz w:val="24"/>
          <w:szCs w:val="24"/>
        </w:rPr>
        <w:t>, [10]</w:t>
      </w:r>
      <w:r w:rsidRPr="00EF3FB0">
        <w:rPr>
          <w:rFonts w:ascii="Times New Roman" w:hAnsi="Times New Roman" w:cs="Times New Roman"/>
          <w:sz w:val="24"/>
          <w:szCs w:val="24"/>
        </w:rPr>
        <w:t>:</w:t>
      </w:r>
    </w:p>
    <w:p w:rsidR="00B9777A" w:rsidRPr="00EF3FB0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Позицията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возното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телематичното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устройство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монтирано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автомобила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Това се извършва от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телематичн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комуникационн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единиц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(TCU)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която представлява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телематичната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превозното средство. В нея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интегрирани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телематиката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CE356D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Превозно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средство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proofErr w:type="spellStart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предава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компания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безжична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клетъчна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връзка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 w:rsidRPr="00EF3FB0">
        <w:rPr>
          <w:rFonts w:ascii="Times New Roman" w:hAnsi="Times New Roman" w:cs="Times New Roman"/>
          <w:sz w:val="24"/>
          <w:szCs w:val="24"/>
        </w:rPr>
        <w:t xml:space="preserve"> 4G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CE35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56D">
        <w:rPr>
          <w:rFonts w:ascii="Arial" w:hAnsi="Arial" w:cs="Arial"/>
          <w:color w:val="464A4C"/>
          <w:sz w:val="23"/>
          <w:szCs w:val="23"/>
          <w:shd w:val="clear" w:color="auto" w:fill="FFFFFF"/>
        </w:rPr>
        <w:t> </w:t>
      </w:r>
      <w:r w:rsidR="00CE356D" w:rsidRPr="00CE356D">
        <w:rPr>
          <w:rFonts w:ascii="Times New Roman" w:hAnsi="Times New Roman" w:cs="Times New Roman"/>
          <w:sz w:val="24"/>
          <w:szCs w:val="24"/>
          <w:shd w:val="clear" w:color="auto" w:fill="FFFFFF"/>
        </w:rPr>
        <w:t>GPRS</w:t>
      </w:r>
      <w:proofErr w:type="gramEnd"/>
      <w:r w:rsidR="00CE356D" w:rsidRPr="00CE3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(General Packet Radio Service)</w:t>
      </w:r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56D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56D">
        <w:rPr>
          <w:rFonts w:ascii="Times New Roman" w:hAnsi="Times New Roman" w:cs="Times New Roman"/>
          <w:sz w:val="24"/>
          <w:szCs w:val="24"/>
          <w:lang w:val="en-US"/>
        </w:rPr>
        <w:t>алтернат</w:t>
      </w:r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ивно</w:t>
      </w:r>
      <w:proofErr w:type="spellEnd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сателитни</w:t>
      </w:r>
      <w:proofErr w:type="spellEnd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комуникации</w:t>
      </w:r>
      <w:proofErr w:type="spellEnd"/>
      <w:r w:rsidRPr="00CE3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EF3FB0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Телекомуникационната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компания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компания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 w:rsidRPr="00EF3FB0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</w:t>
      </w:r>
      <w:proofErr w:type="gramStart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от  компютърни</w:t>
      </w:r>
      <w:proofErr w:type="gram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сървъри с високо ниво на сигурност</w:t>
      </w:r>
      <w:r w:rsidR="00FB51F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съхраняват и обработват данните, превръщайки ги в използваема информация.</w:t>
      </w:r>
    </w:p>
    <w:p w:rsidR="00B9777A" w:rsidRPr="00EF3FB0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Чрез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Интернет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FB51F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се качва на защитена онлайн платформа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EF3FB0" w:rsidRDefault="00FB51F2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>у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еб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браузър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заинтересованите могат да получат</w:t>
      </w:r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информацията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превозните средства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реално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чрез онлайн платформата.</w:t>
      </w: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762D1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5FA26F2" wp14:editId="68B4CF47">
            <wp:extent cx="5730291" cy="3840480"/>
            <wp:effectExtent l="0" t="0" r="3810" b="7620"/>
            <wp:docPr id="2" name="Картина 2" descr="F:\FMI\masters\ThirdTerm\fleetmanagement\Resources\Other\Telematics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elematicsMechanis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7A" w:rsidRPr="00DC4896" w:rsidRDefault="00DC4896" w:rsidP="00DC4896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A3407F" w:rsidRPr="00A3407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Принцип на работа на </w:t>
      </w:r>
      <w:proofErr w:type="spellStart"/>
      <w:r w:rsidR="00A3407F" w:rsidRPr="00A3407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10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22EA" w:rsidRDefault="005022EA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>2.2.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3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Възможности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за снабдяване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телематични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устройства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10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]</w:t>
      </w:r>
    </w:p>
    <w:p w:rsidR="00072104" w:rsidRPr="00072104" w:rsidRDefault="00072104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072104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Съществуват </w:t>
      </w:r>
      <w:r w:rsidR="00D23888">
        <w:rPr>
          <w:rFonts w:ascii="Times New Roman" w:hAnsi="Times New Roman" w:cs="Times New Roman"/>
          <w:sz w:val="24"/>
          <w:szCs w:val="24"/>
          <w:lang w:val="bg-BG"/>
        </w:rPr>
        <w:t xml:space="preserve">два вида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23888">
        <w:rPr>
          <w:rFonts w:ascii="Times New Roman" w:hAnsi="Times New Roman" w:cs="Times New Roman"/>
          <w:sz w:val="24"/>
          <w:szCs w:val="24"/>
          <w:lang w:val="bg-BG"/>
        </w:rPr>
        <w:t>елематични</w:t>
      </w:r>
      <w:proofErr w:type="spellEnd"/>
      <w:r w:rsidR="00F90BBB">
        <w:rPr>
          <w:rFonts w:ascii="Times New Roman" w:hAnsi="Times New Roman" w:cs="Times New Roman"/>
          <w:sz w:val="24"/>
          <w:szCs w:val="24"/>
          <w:lang w:val="bg-BG"/>
        </w:rPr>
        <w:t xml:space="preserve"> системи</w:t>
      </w:r>
      <w:r w:rsidR="00D23888">
        <w:rPr>
          <w:rFonts w:ascii="Times New Roman" w:hAnsi="Times New Roman" w:cs="Times New Roman"/>
          <w:sz w:val="24"/>
          <w:szCs w:val="24"/>
          <w:lang w:val="bg-BG"/>
        </w:rPr>
        <w:t xml:space="preserve"> според техния произход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99B" w:rsidRDefault="00BB0233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>От производителите</w:t>
      </w:r>
      <w:r w:rsidR="00072104"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</w:t>
      </w: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оригинално </w:t>
      </w:r>
      <w:r w:rsidR="00072104" w:rsidRPr="0073099B">
        <w:rPr>
          <w:rFonts w:ascii="Times New Roman" w:hAnsi="Times New Roman" w:cs="Times New Roman"/>
          <w:b/>
          <w:sz w:val="24"/>
          <w:szCs w:val="24"/>
          <w:lang w:val="bg-BG"/>
        </w:rPr>
        <w:t>оборудване</w:t>
      </w: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 автомобилите</w:t>
      </w:r>
      <w:r w:rsidR="0073099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99B" w:rsidRDefault="00F05986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3099B">
        <w:rPr>
          <w:rFonts w:ascii="Times New Roman" w:hAnsi="Times New Roman" w:cs="Times New Roman"/>
          <w:sz w:val="24"/>
          <w:szCs w:val="24"/>
          <w:lang w:val="bg-BG"/>
        </w:rPr>
        <w:t>е изискват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ръчна</w:t>
      </w:r>
      <w:r w:rsidR="0073099B">
        <w:rPr>
          <w:rFonts w:ascii="Times New Roman" w:hAnsi="Times New Roman" w:cs="Times New Roman"/>
          <w:sz w:val="24"/>
          <w:szCs w:val="24"/>
          <w:lang w:val="bg-BG"/>
        </w:rPr>
        <w:t xml:space="preserve"> инсталация</w:t>
      </w:r>
      <w:r w:rsidR="007309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099B" w:rsidRPr="0073099B" w:rsidRDefault="0073099B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Включени са в гаранцията на автомобила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3888" w:rsidRPr="00D23888" w:rsidRDefault="00D23888" w:rsidP="00D23888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3888" w:rsidRPr="00F17827" w:rsidRDefault="00D23888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</w:t>
      </w:r>
      <w:r w:rsidR="00F17827">
        <w:rPr>
          <w:rFonts w:ascii="Times New Roman" w:hAnsi="Times New Roman" w:cs="Times New Roman"/>
          <w:sz w:val="24"/>
          <w:szCs w:val="24"/>
          <w:lang w:val="bg-BG"/>
        </w:rPr>
        <w:t>ботят само с този производител на оригинално оборудване</w:t>
      </w:r>
      <w:r w:rsidR="002C77A3">
        <w:rPr>
          <w:rFonts w:ascii="Times New Roman" w:hAnsi="Times New Roman" w:cs="Times New Roman"/>
          <w:sz w:val="24"/>
          <w:szCs w:val="24"/>
          <w:lang w:val="bg-BG"/>
        </w:rPr>
        <w:t>, което може да доведе до използването на различни портали и дефиниции по отношение на данните</w:t>
      </w:r>
      <w:r w:rsidR="00F178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F17827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Бавни ъпдейти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F17827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Обикновено са специфични за модела автомобил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104" w:rsidRPr="001B0425" w:rsidRDefault="00F17827" w:rsidP="0073099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възможна смяна на източника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услуги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B0425" w:rsidRPr="001B0425" w:rsidRDefault="001B0425" w:rsidP="001B0425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A3407F" w:rsidRDefault="00A3407F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От странични производители на </w:t>
      </w:r>
      <w:proofErr w:type="spellStart"/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>телематични</w:t>
      </w:r>
      <w:proofErr w:type="spellEnd"/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устройства</w:t>
      </w:r>
      <w:r w:rsidR="001B5D8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35F3" w:rsidRPr="000D79E7" w:rsidRDefault="00E135F3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 собствена гаранция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79E7" w:rsidRPr="00F570F7" w:rsidRDefault="000D79E7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Работят с различни мар</w:t>
      </w:r>
      <w:r w:rsidR="00745FBE">
        <w:rPr>
          <w:rFonts w:ascii="Times New Roman" w:hAnsi="Times New Roman" w:cs="Times New Roman"/>
          <w:sz w:val="24"/>
          <w:szCs w:val="24"/>
          <w:lang w:val="bg-BG"/>
        </w:rPr>
        <w:t>ки и модели превозни средства, при което се използва само един портал</w:t>
      </w:r>
      <w:r w:rsidR="00745F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CB49CB" w:rsidRDefault="00F570F7" w:rsidP="00CB49C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По-бързи ъпдейти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8002A5" w:rsidRDefault="00CB49CB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z w:val="24"/>
          <w:szCs w:val="24"/>
          <w:lang w:val="bg-BG"/>
        </w:rPr>
        <w:t>ъзможна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смяна на източника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услуги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B5D86" w:rsidRP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5986" w:rsidRDefault="00F05986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2A5">
        <w:rPr>
          <w:rFonts w:ascii="Times New Roman" w:hAnsi="Times New Roman" w:cs="Times New Roman"/>
          <w:sz w:val="24"/>
          <w:szCs w:val="24"/>
          <w:lang w:val="bg-BG"/>
        </w:rPr>
        <w:t>Инсталират се ръчно</w:t>
      </w:r>
      <w:r w:rsidRPr="008002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575DC1" w:rsidRDefault="00F1329A" w:rsidP="00F132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общия случай използването на устройства от производителите на оригинално оборудване има смисъл само когато собственикът им има доверие и е доволен от предлаганите от тях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услуги</w:t>
      </w:r>
      <w:r w:rsidR="00575D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75DC1">
        <w:rPr>
          <w:rFonts w:ascii="Times New Roman" w:hAnsi="Times New Roman" w:cs="Times New Roman"/>
          <w:sz w:val="24"/>
          <w:szCs w:val="24"/>
          <w:lang w:val="bg-BG"/>
        </w:rPr>
        <w:t>Във всеки друг случай за предпочитане са</w:t>
      </w:r>
      <w:bookmarkStart w:id="0" w:name="_GoBack"/>
      <w:bookmarkEnd w:id="0"/>
      <w:r w:rsidR="00575DC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>странични</w:t>
      </w:r>
      <w:r w:rsidR="00575DC1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 xml:space="preserve"> производители на </w:t>
      </w:r>
      <w:proofErr w:type="spellStart"/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</w:t>
      </w:r>
      <w:r w:rsidR="00575DC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73099B" w:rsidRPr="0073099B" w:rsidRDefault="0073099B" w:rsidP="0073099B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72104" w:rsidRPr="00072104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95FC0" w:rsidRPr="00EF3FB0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C3E92" w:rsidRPr="00EF3FB0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991908" w:rsidRDefault="0099190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991908" w:rsidRPr="00991908" w:rsidRDefault="0099190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Източници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EF3FB0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EF3FB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r w:rsidR="004D7620" w:rsidRPr="00EF3FB0">
        <w:fldChar w:fldCharType="begin"/>
      </w:r>
      <w:r w:rsidR="004D7620" w:rsidRPr="00EF3FB0">
        <w:instrText xml:space="preserve"> HYPERLINK "https://www2.deloitte.com/content/dam/Deloitte/cz/Documents/consumer-and-industrial/cz-fleet-management-in-europe.pdf" </w:instrText>
      </w:r>
      <w:r w:rsidR="004D7620" w:rsidRPr="00EF3FB0">
        <w:fldChar w:fldCharType="separate"/>
      </w:r>
      <w:r w:rsidR="00EA2F56"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https://www2.deloitte.com/content/dam/Deloitte/cz/Documents/consumer-and-industrial/cz-fleet-management-in-europe.pdf</w:t>
      </w:r>
      <w:r w:rsidR="004D7620"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A2F56" w:rsidRPr="00EF3FB0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EF3FB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EA2F56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EF3FB0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EF3FB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EA2F56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EF3FB0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4" w:history="1">
        <w:r w:rsidR="007D3BD2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EF3FB0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EF3FB0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5" w:history="1">
        <w:r w:rsidR="003F6790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</w:t>
        </w:r>
        <w:r w:rsidR="003F6790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</w:t>
        </w:r>
        <w:r w:rsidR="003F6790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.verizonconnect.com/nz/glossary/what-is-telematics/</w:t>
        </w:r>
      </w:hyperlink>
    </w:p>
    <w:p w:rsidR="003440C9" w:rsidRPr="00EF3FB0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6" w:history="1">
        <w:r w:rsidR="00C04EF7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Pr="00EF3FB0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lastRenderedPageBreak/>
        <w:t xml:space="preserve">[8] </w:t>
      </w:r>
      <w:hyperlink r:id="rId17" w:history="1">
        <w:r w:rsidR="00BA6CE7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https://www.business-case-analysis.com/total-cost-of-ownership.html</w:t>
        </w:r>
      </w:hyperlink>
    </w:p>
    <w:p w:rsidR="00BA6CE7" w:rsidRPr="00EF3FB0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hyperlink r:id="rId18" w:history="1">
        <w:r w:rsidR="00B762D1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http://www.asashop.org/wp-content/uploads/ASAtelematics_0508.pdf</w:t>
        </w:r>
      </w:hyperlink>
    </w:p>
    <w:p w:rsidR="00B762D1" w:rsidRDefault="00B762D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[10</w:t>
      </w:r>
      <w:proofErr w:type="gramStart"/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hyperlink r:id="rId19" w:history="1">
        <w:r w:rsidR="009573DF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https://www.teletracnavman.com/gps-tracking-resources/fleet-management-faq/how-does-telematics-work</w:t>
        </w:r>
      </w:hyperlink>
    </w:p>
    <w:p w:rsidR="009573DF" w:rsidRPr="00EF3FB0" w:rsidRDefault="009573DF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[11]</w:t>
      </w:r>
      <w:r w:rsidRPr="009573DF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https://5vtj648dfk323byvjb7k1e9w-wpengine.netdna-ssl.com/wp-content/uploads/2016/08/ultimate-telematics-guide-pdfversion.pdf</w:t>
      </w:r>
    </w:p>
    <w:p w:rsidR="0004164C" w:rsidRPr="00EF3FB0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FB0" w:rsidRPr="00EF3FB0" w:rsidRDefault="00EF3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FB0" w:rsidRPr="00EF3FB0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620" w:rsidRDefault="004D7620" w:rsidP="00F77439">
      <w:pPr>
        <w:spacing w:after="0" w:line="240" w:lineRule="auto"/>
      </w:pPr>
      <w:r>
        <w:separator/>
      </w:r>
    </w:p>
  </w:endnote>
  <w:endnote w:type="continuationSeparator" w:id="0">
    <w:p w:rsidR="004D7620" w:rsidRDefault="004D7620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124654"/>
      <w:docPartObj>
        <w:docPartGallery w:val="Page Numbers (Bottom of Page)"/>
        <w:docPartUnique/>
      </w:docPartObj>
    </w:sdtPr>
    <w:sdtContent>
      <w:p w:rsidR="00F77439" w:rsidRDefault="00F7743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DC1" w:rsidRPr="00575DC1">
          <w:rPr>
            <w:noProof/>
            <w:lang w:val="bg-BG"/>
          </w:rPr>
          <w:t>9</w:t>
        </w:r>
        <w:r>
          <w:fldChar w:fldCharType="end"/>
        </w:r>
      </w:p>
    </w:sdtContent>
  </w:sdt>
  <w:p w:rsidR="00F77439" w:rsidRDefault="00F7743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620" w:rsidRDefault="004D7620" w:rsidP="00F77439">
      <w:pPr>
        <w:spacing w:after="0" w:line="240" w:lineRule="auto"/>
      </w:pPr>
      <w:r>
        <w:separator/>
      </w:r>
    </w:p>
  </w:footnote>
  <w:footnote w:type="continuationSeparator" w:id="0">
    <w:p w:rsidR="004D7620" w:rsidRDefault="004D7620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89E"/>
    <w:multiLevelType w:val="hybridMultilevel"/>
    <w:tmpl w:val="1B8C1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301D1"/>
    <w:multiLevelType w:val="hybridMultilevel"/>
    <w:tmpl w:val="BB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502D43"/>
    <w:multiLevelType w:val="hybridMultilevel"/>
    <w:tmpl w:val="4DD2DA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974FF4"/>
    <w:multiLevelType w:val="hybridMultilevel"/>
    <w:tmpl w:val="F4D2CC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F2F81"/>
    <w:multiLevelType w:val="hybridMultilevel"/>
    <w:tmpl w:val="5E68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11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14"/>
  </w:num>
  <w:num w:numId="10">
    <w:abstractNumId w:val="17"/>
  </w:num>
  <w:num w:numId="11">
    <w:abstractNumId w:val="0"/>
  </w:num>
  <w:num w:numId="12">
    <w:abstractNumId w:val="8"/>
  </w:num>
  <w:num w:numId="13">
    <w:abstractNumId w:val="1"/>
  </w:num>
  <w:num w:numId="14">
    <w:abstractNumId w:val="6"/>
  </w:num>
  <w:num w:numId="15">
    <w:abstractNumId w:val="16"/>
  </w:num>
  <w:num w:numId="16">
    <w:abstractNumId w:val="5"/>
  </w:num>
  <w:num w:numId="17">
    <w:abstractNumId w:val="13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638E9"/>
    <w:rsid w:val="000678A0"/>
    <w:rsid w:val="00072104"/>
    <w:rsid w:val="00080249"/>
    <w:rsid w:val="00080B37"/>
    <w:rsid w:val="000813AA"/>
    <w:rsid w:val="00085064"/>
    <w:rsid w:val="00087AB9"/>
    <w:rsid w:val="00091B6C"/>
    <w:rsid w:val="000B342D"/>
    <w:rsid w:val="000B621B"/>
    <w:rsid w:val="000C21DB"/>
    <w:rsid w:val="000D79E7"/>
    <w:rsid w:val="000D7AF2"/>
    <w:rsid w:val="000E3DB6"/>
    <w:rsid w:val="000E610C"/>
    <w:rsid w:val="000F7083"/>
    <w:rsid w:val="0010257F"/>
    <w:rsid w:val="00107614"/>
    <w:rsid w:val="001171B5"/>
    <w:rsid w:val="00120FFE"/>
    <w:rsid w:val="00127C32"/>
    <w:rsid w:val="00151C43"/>
    <w:rsid w:val="00162258"/>
    <w:rsid w:val="0016285D"/>
    <w:rsid w:val="00166EB7"/>
    <w:rsid w:val="00170946"/>
    <w:rsid w:val="00173966"/>
    <w:rsid w:val="00175A0E"/>
    <w:rsid w:val="00181283"/>
    <w:rsid w:val="001A4A9B"/>
    <w:rsid w:val="001B0425"/>
    <w:rsid w:val="001B5D86"/>
    <w:rsid w:val="001F58D4"/>
    <w:rsid w:val="0022181A"/>
    <w:rsid w:val="00222813"/>
    <w:rsid w:val="00227F4E"/>
    <w:rsid w:val="00231EE7"/>
    <w:rsid w:val="0025193B"/>
    <w:rsid w:val="0028246C"/>
    <w:rsid w:val="0029251A"/>
    <w:rsid w:val="002C10FA"/>
    <w:rsid w:val="002C1B5A"/>
    <w:rsid w:val="002C2100"/>
    <w:rsid w:val="002C27AC"/>
    <w:rsid w:val="002C77A3"/>
    <w:rsid w:val="002D20C7"/>
    <w:rsid w:val="002D2EEC"/>
    <w:rsid w:val="002F0B70"/>
    <w:rsid w:val="002F14D6"/>
    <w:rsid w:val="002F196B"/>
    <w:rsid w:val="00304FD7"/>
    <w:rsid w:val="0031049D"/>
    <w:rsid w:val="00320F77"/>
    <w:rsid w:val="00327C70"/>
    <w:rsid w:val="0033266B"/>
    <w:rsid w:val="00335A89"/>
    <w:rsid w:val="00340605"/>
    <w:rsid w:val="003440C9"/>
    <w:rsid w:val="00354186"/>
    <w:rsid w:val="0038785D"/>
    <w:rsid w:val="003D3C86"/>
    <w:rsid w:val="003D79C7"/>
    <w:rsid w:val="003F6790"/>
    <w:rsid w:val="00405C9F"/>
    <w:rsid w:val="00415A44"/>
    <w:rsid w:val="0042076B"/>
    <w:rsid w:val="004400C1"/>
    <w:rsid w:val="0045253B"/>
    <w:rsid w:val="00452993"/>
    <w:rsid w:val="004710BB"/>
    <w:rsid w:val="00487CCF"/>
    <w:rsid w:val="004913C1"/>
    <w:rsid w:val="004A35EC"/>
    <w:rsid w:val="004A445F"/>
    <w:rsid w:val="004B3739"/>
    <w:rsid w:val="004C3E92"/>
    <w:rsid w:val="004D7620"/>
    <w:rsid w:val="005022EA"/>
    <w:rsid w:val="00516FBE"/>
    <w:rsid w:val="00552758"/>
    <w:rsid w:val="00560CD0"/>
    <w:rsid w:val="00575DC1"/>
    <w:rsid w:val="00576505"/>
    <w:rsid w:val="00581C1C"/>
    <w:rsid w:val="005A50EE"/>
    <w:rsid w:val="005B07D0"/>
    <w:rsid w:val="005B7D68"/>
    <w:rsid w:val="005C47BA"/>
    <w:rsid w:val="005D0A1F"/>
    <w:rsid w:val="005D2304"/>
    <w:rsid w:val="006002DF"/>
    <w:rsid w:val="0061769E"/>
    <w:rsid w:val="00624135"/>
    <w:rsid w:val="00653552"/>
    <w:rsid w:val="00656B73"/>
    <w:rsid w:val="00677BDD"/>
    <w:rsid w:val="00682F6F"/>
    <w:rsid w:val="00683943"/>
    <w:rsid w:val="00685C4A"/>
    <w:rsid w:val="00687754"/>
    <w:rsid w:val="00695C3C"/>
    <w:rsid w:val="006960DB"/>
    <w:rsid w:val="006A0E62"/>
    <w:rsid w:val="006A4AAE"/>
    <w:rsid w:val="006A68B0"/>
    <w:rsid w:val="006A7A3F"/>
    <w:rsid w:val="006B1231"/>
    <w:rsid w:val="006B3DB3"/>
    <w:rsid w:val="006B4193"/>
    <w:rsid w:val="006B675C"/>
    <w:rsid w:val="006C4829"/>
    <w:rsid w:val="006C57CF"/>
    <w:rsid w:val="006E143A"/>
    <w:rsid w:val="0071509F"/>
    <w:rsid w:val="00721A3F"/>
    <w:rsid w:val="00721DD0"/>
    <w:rsid w:val="0073099B"/>
    <w:rsid w:val="00745FBE"/>
    <w:rsid w:val="00754306"/>
    <w:rsid w:val="00755B71"/>
    <w:rsid w:val="00772D02"/>
    <w:rsid w:val="00781EBE"/>
    <w:rsid w:val="007B4381"/>
    <w:rsid w:val="007D037E"/>
    <w:rsid w:val="007D0AC6"/>
    <w:rsid w:val="007D3BD2"/>
    <w:rsid w:val="007D6813"/>
    <w:rsid w:val="007E1850"/>
    <w:rsid w:val="007F4785"/>
    <w:rsid w:val="008002A5"/>
    <w:rsid w:val="008166CB"/>
    <w:rsid w:val="00822020"/>
    <w:rsid w:val="008246A9"/>
    <w:rsid w:val="008533C3"/>
    <w:rsid w:val="00866B01"/>
    <w:rsid w:val="008718C2"/>
    <w:rsid w:val="008830D8"/>
    <w:rsid w:val="00883260"/>
    <w:rsid w:val="008B2D8D"/>
    <w:rsid w:val="008C2E51"/>
    <w:rsid w:val="008E0A85"/>
    <w:rsid w:val="00906638"/>
    <w:rsid w:val="009107BB"/>
    <w:rsid w:val="0091228E"/>
    <w:rsid w:val="009262A2"/>
    <w:rsid w:val="0093010F"/>
    <w:rsid w:val="009364AD"/>
    <w:rsid w:val="0095640A"/>
    <w:rsid w:val="009573DF"/>
    <w:rsid w:val="00972C70"/>
    <w:rsid w:val="00974282"/>
    <w:rsid w:val="00985321"/>
    <w:rsid w:val="00991908"/>
    <w:rsid w:val="009B733A"/>
    <w:rsid w:val="009C12D6"/>
    <w:rsid w:val="009E601A"/>
    <w:rsid w:val="009F4B31"/>
    <w:rsid w:val="009F5325"/>
    <w:rsid w:val="009F5CB7"/>
    <w:rsid w:val="00A01496"/>
    <w:rsid w:val="00A1581D"/>
    <w:rsid w:val="00A273B0"/>
    <w:rsid w:val="00A3407F"/>
    <w:rsid w:val="00A40C8D"/>
    <w:rsid w:val="00A421E5"/>
    <w:rsid w:val="00A6199E"/>
    <w:rsid w:val="00A746ED"/>
    <w:rsid w:val="00A74F0C"/>
    <w:rsid w:val="00A75A82"/>
    <w:rsid w:val="00A8707B"/>
    <w:rsid w:val="00A97B19"/>
    <w:rsid w:val="00AB1589"/>
    <w:rsid w:val="00AD5D5D"/>
    <w:rsid w:val="00B11CBC"/>
    <w:rsid w:val="00B1308F"/>
    <w:rsid w:val="00B450CD"/>
    <w:rsid w:val="00B45F73"/>
    <w:rsid w:val="00B50869"/>
    <w:rsid w:val="00B51380"/>
    <w:rsid w:val="00B629C7"/>
    <w:rsid w:val="00B71B8A"/>
    <w:rsid w:val="00B762D1"/>
    <w:rsid w:val="00B845B9"/>
    <w:rsid w:val="00B9777A"/>
    <w:rsid w:val="00BA6CE7"/>
    <w:rsid w:val="00BA73F7"/>
    <w:rsid w:val="00BB0233"/>
    <w:rsid w:val="00BB6EEB"/>
    <w:rsid w:val="00BC0EE9"/>
    <w:rsid w:val="00BC50F7"/>
    <w:rsid w:val="00BD12DC"/>
    <w:rsid w:val="00BD35B0"/>
    <w:rsid w:val="00BD4E87"/>
    <w:rsid w:val="00BE2FB4"/>
    <w:rsid w:val="00BF3A6D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B49CB"/>
    <w:rsid w:val="00CD50B3"/>
    <w:rsid w:val="00CE356D"/>
    <w:rsid w:val="00CE397F"/>
    <w:rsid w:val="00CE56FF"/>
    <w:rsid w:val="00CF236A"/>
    <w:rsid w:val="00CF7BC4"/>
    <w:rsid w:val="00CF7DF7"/>
    <w:rsid w:val="00D10544"/>
    <w:rsid w:val="00D11EAA"/>
    <w:rsid w:val="00D20880"/>
    <w:rsid w:val="00D23888"/>
    <w:rsid w:val="00D255C9"/>
    <w:rsid w:val="00D46B99"/>
    <w:rsid w:val="00D472B6"/>
    <w:rsid w:val="00D61E6B"/>
    <w:rsid w:val="00D62B04"/>
    <w:rsid w:val="00D807B2"/>
    <w:rsid w:val="00D81A59"/>
    <w:rsid w:val="00D9500E"/>
    <w:rsid w:val="00DA0FCC"/>
    <w:rsid w:val="00DC4896"/>
    <w:rsid w:val="00DD6385"/>
    <w:rsid w:val="00DD7480"/>
    <w:rsid w:val="00DF5B63"/>
    <w:rsid w:val="00DF5C46"/>
    <w:rsid w:val="00E01A7F"/>
    <w:rsid w:val="00E06D3D"/>
    <w:rsid w:val="00E135F3"/>
    <w:rsid w:val="00E4003A"/>
    <w:rsid w:val="00E461DE"/>
    <w:rsid w:val="00E64F1F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EF3FB0"/>
    <w:rsid w:val="00F05986"/>
    <w:rsid w:val="00F1329A"/>
    <w:rsid w:val="00F17827"/>
    <w:rsid w:val="00F26C74"/>
    <w:rsid w:val="00F27B21"/>
    <w:rsid w:val="00F42089"/>
    <w:rsid w:val="00F52D13"/>
    <w:rsid w:val="00F570F7"/>
    <w:rsid w:val="00F57C39"/>
    <w:rsid w:val="00F6308A"/>
    <w:rsid w:val="00F704C6"/>
    <w:rsid w:val="00F74E52"/>
    <w:rsid w:val="00F77002"/>
    <w:rsid w:val="00F77439"/>
    <w:rsid w:val="00F85C33"/>
    <w:rsid w:val="00F90BBB"/>
    <w:rsid w:val="00F95FC0"/>
    <w:rsid w:val="00FA65B6"/>
    <w:rsid w:val="00FB2B3C"/>
    <w:rsid w:val="00FB51F2"/>
    <w:rsid w:val="00FC271F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inancesonline.com/what-is-the-purpose-of-fleet-management/" TargetMode="External"/><Relationship Id="rId18" Type="http://schemas.openxmlformats.org/officeDocument/2006/relationships/hyperlink" Target="http://www.asashop.org/wp-content/uploads/ASAtelematics_0508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fleet-management.financesonline.com/" TargetMode="External"/><Relationship Id="rId17" Type="http://schemas.openxmlformats.org/officeDocument/2006/relationships/hyperlink" Target="https://www.business-case-analysis.com/total-cost-of-ownershi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otab.com/blog/what-is-telematic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verizonconnect.com/nz/glossary/what-is-telematic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teletracnavman.com/gps-tracking-resources/fleet-management-faq/how-does-telematics-wor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earchnetworking.techtarget.com/definition/telematic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4C306-19BD-4D33-B7F6-43589D90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6358</TotalTime>
  <Pages>11</Pages>
  <Words>2717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206</cp:revision>
  <dcterms:created xsi:type="dcterms:W3CDTF">2019-02-03T08:50:00Z</dcterms:created>
  <dcterms:modified xsi:type="dcterms:W3CDTF">2019-02-17T15:58:00Z</dcterms:modified>
</cp:coreProperties>
</file>