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two-period crossover randomised trial; each participant receives both treatments in sequence.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