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 for the CLEARWATER study</w:t>
      </w:r>
    </w:p>
    <w:p>
      <w:pPr>
        <w:pStyle w:val="Subtitle"/>
      </w:pPr>
      <w:r>
        <w:t>Synthetic pipeline test document</w:t>
      </w:r>
    </w:p>
    <w:p>
      <w:r>
        <w:t>Version 1.0 | 2026-10-29 | Study CW-EXAMPLE</w:t>
      </w:r>
    </w:p>
    <w:p>
      <w:r>
        <w:t>All study details are invented for software testing. No real participants, treatment recommendations or patient-level data are included.</w:t>
      </w:r>
    </w:p>
    <w:p>
      <w:pPr>
        <w:pStyle w:val="Heading1"/>
      </w:pPr>
      <w:r>
        <w:t>1 Trial design and objective</w:t>
      </w:r>
    </w:p>
    <w:p>
      <w:r>
        <w:t>This English-language study is a two-arm, parallel-group randomised superiority trial with a continuous primary endpoint at a fixed time point.</w:t>
      </w:r>
    </w:p>
    <w:p>
      <w:r>
        <w:t>Objective: compare investigational treatment with placebo on change in fatigue score in adults with a synthetic rare disease.</w:t>
      </w:r>
    </w:p>
    <w:p>
      <w:r>
        <w:t>Eligible population: adults aged 18 years or older with the synthetic study condition.</w:t>
      </w:r>
    </w:p>
    <w:p>
      <w:r>
        <w:t>Treatment comparison: investigational treatment versus placebo. Allocation is 1:1.</w:t>
      </w:r>
    </w:p>
    <w:p>
      <w:pPr>
        <w:pStyle w:val="Heading1"/>
      </w:pPr>
      <w:r>
        <w:t>2 Primary endpoint</w:t>
      </w:r>
    </w:p>
    <w:p>
      <w:r>
        <w:t>The primary endpoint is change from baseline in fatigue score at Week 12.</w:t>
      </w:r>
    </w:p>
    <w:p>
      <w:r>
        <w:t>Fatigue is measured with the invented CLEAR score, ranging from 0 to 100; a lower score indicates less fatigue. Baseline is the pre-randomisation assessment.</w:t>
      </w:r>
    </w:p>
    <w:p>
      <w:pPr>
        <w:pStyle w:val="Heading1"/>
      </w:pPr>
      <w:r>
        <w:t>3 Primary analysis and sample size</w:t>
      </w:r>
    </w:p>
    <w:p>
      <w:r>
        <w:t>The primary analysis population is intention-to-treat.</w:t>
      </w:r>
    </w:p>
    <w:p>
      <w:r>
        <w:t>Include all randomised participants according to their assigned treatment group, irrespective of treatment adherence.</w:t>
      </w:r>
    </w:p>
    <w:p>
      <w:r>
        <w:t>Primary analysis: analysis of covariance of the Week 12 change, adjusted for baseline fatigue score.</w:t>
      </w:r>
    </w:p>
    <w:p>
      <w:r>
        <w:t>A total of 120 participants will be randomised.</w:t>
      </w:r>
    </w:p>
    <w:p>
      <w:r>
        <w:t>Allocation is equal: 60 participants per arm. The sample size rationale names the Week 12 change in CLEAR fatigue score; this example does not validate statistical power.</w:t>
      </w:r>
    </w:p>
    <w:p>
      <w:r>
        <w:t>Outcomes after treatment discontinuation will continue to be collected and included in the primary comparison. Missing observations will be addressed by multiple imputation.</w:t>
      </w:r>
    </w:p>
    <w:p>
      <w:pPr>
        <w:pStyle w:val="Heading1"/>
      </w:pPr>
      <w:r>
        <w:t>4 Schedule of primary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4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12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24</w:t>
            </w:r>
          </w:p>
        </w:tc>
      </w:tr>
      <w:tr>
        <w:tc>
          <w:tcPr>
            <w:tcW w:type="dxa" w:w="2473"/>
          </w:tcPr>
          <w:p>
            <w:r>
              <w:t>CLEAR fatigue score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No</w:t>
            </w:r>
          </w:p>
        </w:tc>
        <w:tc>
          <w:tcPr>
            <w:tcW w:type="dxa" w:w="2473"/>
          </w:tcPr>
          <w:p>
            <w:r>
              <w:t>Yes</w:t>
            </w:r>
          </w:p>
        </w:tc>
      </w:tr>
    </w:tbl>
    <w:p>
      <w:r>
        <w:t>Week 12 is Day 84 after randomisation. The permitted visit window is plus or minus 3 days; the target assessment time remains Day 84.</w:t>
      </w:r>
    </w:p>
    <w:p>
      <w:pPr>
        <w:pStyle w:val="Heading1"/>
      </w:pPr>
      <w:r>
        <w:t>5 Collection responsibilities and supporting documents</w:t>
      </w:r>
    </w:p>
    <w:p>
      <w:r>
        <w:t>The primary questionnaire is administered by the site coordinator. The visit schedule does not assign a replacement when the coordinator is absent; confirm coverage with the site team.</w:t>
      </w:r>
    </w:p>
    <w:p>
      <w:r>
        <w:t>Laboratory processing details are delegated to the laboratory manual. That manual is not supplied in this test pack; its contents are outside this review.</w:t>
      </w:r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141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4141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4141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 for the CLEARWATER study</dc:title>
  <dc:subject/>
  <dc:creator>Synthetic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