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plan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12.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After treatment discontinuation, no further fatigue measurements will be collected. Only measurements before treatment discontinuation will contribute to the primary comparison.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plan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