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Credible Mental Health Sources for Agent Alignment (PubMed &amp; PMC Open Access)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includes peer-reviewed sources, organized by topic and agent relevance. These articles may be referenced by Anaya's agents to anchor emotional guidance in evidence-based insight.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50j6gsj6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TRAUMA-INFORMED CARE (TIC)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Effectiveness of Trauma-Informed Care Implementation</w:t>
          <w:br w:type="textWrapping"/>
        </w:r>
      </w:hyperlink>
      <w:r w:rsidDel="00000000" w:rsidR="00000000" w:rsidRPr="00000000">
        <w:rPr>
          <w:rtl w:val="0"/>
        </w:rPr>
        <w:t xml:space="preserve">Summary: Reviews mechanisms and obstacles in real-world TIC adoption.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Care Agent, Integration Agent, Policy Awareness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Trauma-Informed Care: Resisting Re-Traumatization</w:t>
          <w:br w:type="textWrapping"/>
        </w:r>
      </w:hyperlink>
      <w:r w:rsidDel="00000000" w:rsidR="00000000" w:rsidRPr="00000000">
        <w:rPr>
          <w:rtl w:val="0"/>
        </w:rPr>
        <w:t xml:space="preserve">Summary: Structural, systemic causes of re-traumatization.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Boundaries &amp; Structure Agent, Compassion Agent, Care Agent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TIC in Human Services</w:t>
          <w:br w:type="textWrapping"/>
        </w:r>
      </w:hyperlink>
      <w:r w:rsidDel="00000000" w:rsidR="00000000" w:rsidRPr="00000000">
        <w:rPr>
          <w:rtl w:val="0"/>
        </w:rPr>
        <w:t xml:space="preserve">Summary: Gaps in TIC application and cultural understanding.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Care Agent, Integration Agent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TIC Training Evaluation</w:t>
          <w:br w:type="textWrapping"/>
        </w:r>
      </w:hyperlink>
      <w:r w:rsidDel="00000000" w:rsidR="00000000" w:rsidRPr="00000000">
        <w:rPr>
          <w:rtl w:val="0"/>
        </w:rPr>
        <w:t xml:space="preserve">Summary: Impact of short-term internal TIC education.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Care Agent Training, Implementation Dialogues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Systematic Review of TIC Interventions</w:t>
          <w:br w:type="textWrapping"/>
        </w:r>
      </w:hyperlink>
      <w:r w:rsidDel="00000000" w:rsidR="00000000" w:rsidRPr="00000000">
        <w:rPr>
          <w:rtl w:val="0"/>
        </w:rPr>
        <w:t xml:space="preserve">Summary: Looks at outcomes from EMDR, CBT, etc. Shows limitations.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Compassion Agent, Integration Agent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uhgnu5n5y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SHAME, COMPASSION &amp; SELF-WORTH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Psychology of Shame: A Resilience Seminar</w:t>
          <w:br w:type="textWrapping"/>
        </w:r>
      </w:hyperlink>
      <w:r w:rsidDel="00000000" w:rsidR="00000000" w:rsidRPr="00000000">
        <w:rPr>
          <w:rtl w:val="0"/>
        </w:rPr>
        <w:t xml:space="preserve">Summary: Holding shame in groups, fostering resilience.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Expression Agent, Compassion Agent, Shadow Agent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Addressing Shame Through Self-Compassion</w:t>
          <w:br w:type="textWrapping"/>
        </w:r>
      </w:hyperlink>
      <w:r w:rsidDel="00000000" w:rsidR="00000000" w:rsidRPr="00000000">
        <w:rPr>
          <w:rtl w:val="0"/>
        </w:rPr>
        <w:t xml:space="preserve">Summary: Evidence that self-compassion reduces shame symptoms.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Self-Compassion Agent, Integration Agent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Shame Withdraws, Guilt Corrects</w:t>
          <w:br w:type="textWrapping"/>
        </w:r>
      </w:hyperlink>
      <w:r w:rsidDel="00000000" w:rsidR="00000000" w:rsidRPr="00000000">
        <w:rPr>
          <w:rtl w:val="0"/>
        </w:rPr>
        <w:t xml:space="preserve">Summary: Shame leads to self-rejection; guilt leads to correction.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Boundaries Agent, Clarity Agent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Attachment, Shame &amp; Trauma</w:t>
          <w:br w:type="textWrapping"/>
        </w:r>
      </w:hyperlink>
      <w:r w:rsidDel="00000000" w:rsidR="00000000" w:rsidRPr="00000000">
        <w:rPr>
          <w:rtl w:val="0"/>
        </w:rPr>
        <w:t xml:space="preserve">Summary: Links trauma response with early attachment.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Compassion Agent, Care Agent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Health-Related Shame</w:t>
          <w:br w:type="textWrapping"/>
        </w:r>
      </w:hyperlink>
      <w:r w:rsidDel="00000000" w:rsidR="00000000" w:rsidRPr="00000000">
        <w:rPr>
          <w:rtl w:val="0"/>
        </w:rPr>
        <w:t xml:space="preserve">Summary: Shame as an affective determinant of avoidance and poor health outcomes.</w:t>
        <w:br w:type="textWrapping"/>
      </w:r>
      <w:r w:rsidDel="00000000" w:rsidR="00000000" w:rsidRPr="00000000">
        <w:rPr>
          <w:b w:val="1"/>
          <w:rtl w:val="0"/>
        </w:rPr>
        <w:t xml:space="preserve">Use For</w:t>
      </w:r>
      <w:r w:rsidDel="00000000" w:rsidR="00000000" w:rsidRPr="00000000">
        <w:rPr>
          <w:rtl w:val="0"/>
        </w:rPr>
        <w:t xml:space="preserve">: Care Agent, Integration Agent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sources are hosted on PubMed Central (PMC) and marked open access unless otherwise noted. Include as footnotes in system design or educational vaults as needed.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pmc/articles/PMC7780736/" TargetMode="External"/><Relationship Id="rId10" Type="http://schemas.openxmlformats.org/officeDocument/2006/relationships/hyperlink" Target="https://www.ncbi.nlm.nih.gov/pmc/articles/PMC8219147/" TargetMode="External"/><Relationship Id="rId13" Type="http://schemas.openxmlformats.org/officeDocument/2006/relationships/hyperlink" Target="https://www.ncbi.nlm.nih.gov/pmc/articles/PMC12189037/" TargetMode="External"/><Relationship Id="rId12" Type="http://schemas.openxmlformats.org/officeDocument/2006/relationships/hyperlink" Target="https://www.ncbi.nlm.nih.gov/pmc/articles/PMC1155666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mc/articles/PMC8784074/" TargetMode="External"/><Relationship Id="rId15" Type="http://schemas.openxmlformats.org/officeDocument/2006/relationships/hyperlink" Target="https://www.ncbi.nlm.nih.gov/pmc/articles/PMC5739839/" TargetMode="External"/><Relationship Id="rId14" Type="http://schemas.openxmlformats.org/officeDocument/2006/relationships/hyperlink" Target="https://www.ncbi.nlm.nih.gov/pmc/articles/PMC120257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10940237/" TargetMode="External"/><Relationship Id="rId7" Type="http://schemas.openxmlformats.org/officeDocument/2006/relationships/hyperlink" Target="https://www.ncbi.nlm.nih.gov/pmc/articles/PMC8689164/" TargetMode="External"/><Relationship Id="rId8" Type="http://schemas.openxmlformats.org/officeDocument/2006/relationships/hyperlink" Target="https://www.ncbi.nlm.nih.gov/pmc/articles/PMC96872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