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nruz31xslk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Credible Research on Spiritual Trauma Doc 4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(Category: [Spiritual Recovery]; Tag: [Evidence: peer-reviewed])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ct0a7shd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 Religious Trauma Syndrome (RTS) – Dr. Marlene Winell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coined term describing the psychological impact of leaving authoritarian religions. RTS symptoms include anxiety, guilt, nightmares, social dysfunction, and identity confusion.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Summary: RTS is not officially in the DSM but is recognized in trauma-informed therapy spaces.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Journey Free – RTS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Book: </w:t>
      </w:r>
      <w:r w:rsidDel="00000000" w:rsidR="00000000" w:rsidRPr="00000000">
        <w:rPr>
          <w:i w:val="1"/>
          <w:rtl w:val="0"/>
        </w:rPr>
        <w:t xml:space="preserve">“Leaving the Fold” by Marlene Winell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pr77vwxig2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 Spiritual Abuse as a Subset of Emotional Abuse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Research shows spiritual abuse involves manipulation using spiritual authority, leading to long-term identity and relational harm.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Article: </w:t>
      </w:r>
      <w:r w:rsidDel="00000000" w:rsidR="00000000" w:rsidRPr="00000000">
        <w:rPr>
          <w:i w:val="1"/>
          <w:rtl w:val="0"/>
        </w:rPr>
        <w:t xml:space="preserve">“Spiritual Abuse: A Hidden Type of Abuse”</w:t>
      </w:r>
      <w:r w:rsidDel="00000000" w:rsidR="00000000" w:rsidRPr="00000000">
        <w:rPr>
          <w:rtl w:val="0"/>
        </w:rPr>
        <w:t xml:space="preserve"> – Lisa Oakley &amp; Justin Humphreys (2019)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Journal: </w:t>
      </w:r>
      <w:r w:rsidDel="00000000" w:rsidR="00000000" w:rsidRPr="00000000">
        <w:rPr>
          <w:i w:val="1"/>
          <w:rtl w:val="0"/>
        </w:rPr>
        <w:t xml:space="preserve">Mental Health, Religion &amp; Culture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9hrh7jigm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3. Adverse Religious Experiences and Mental Health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Analyzes the link between harmful religious experiences and outcomes like anxiety, depression, and dissociation.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Study: </w:t>
      </w:r>
      <w:r w:rsidDel="00000000" w:rsidR="00000000" w:rsidRPr="00000000">
        <w:rPr>
          <w:i w:val="1"/>
          <w:rtl w:val="0"/>
        </w:rPr>
        <w:t xml:space="preserve">Adverse Religious Experiences and Mental Health Outcomes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Source: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PubMed Central (PMC)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ourneyfree.org/rts/" TargetMode="External"/><Relationship Id="rId7" Type="http://schemas.openxmlformats.org/officeDocument/2006/relationships/hyperlink" Target="https://www.tandfonline.com/doi/full/10.1080/13674676.2019.1674002" TargetMode="External"/><Relationship Id="rId8" Type="http://schemas.openxmlformats.org/officeDocument/2006/relationships/hyperlink" Target="https://pubmed.ncbi.nlm.nih.gov/310803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