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41 años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Justificación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El Liceo se fundamenta en principios y valores que inspiran y justifican las acciones que orientan el quehacer pedagógico. En su conjunto garantiza la identidad institucional, posibilitando la toma de conciencia hasta el cumplimiento de nuestra función formativa, introduciendo a la búsqueda de estrategias y alternativas que orientan la construcción de un proyecto de vida en cada uno de los miembros de la comunidad.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La institución se enmarca en principios de formación como seres humanos: libertad, autonomía, responsabilidad y efectividad; elementos generales de actitudes y comportamientos capaces de estructurar el ideal del hombre y la mujer en una sociedad en continuo cambio.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Misión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El proceso formativo está encausado a propiciar un ambiente humano y humanizante, lógico, ético, estético, comunicativo, actitudinal y valorativo que permita a los niños y niñas reflexionar, analizar y resolver problemas a través de la estructura curricular propuesta, responder por sus acciones, manejar equilibradamente la libertad, autonomía, criticidad, capacidad de análisis y observación; con un alto respeto por la vida y los derechos humanos.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La proyección pedagógica está encaminada hacia el logro de las competencias ciudadanas propuestas por la institución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Visión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El Liceo Integral la Granja desea ser reconocido por su alta calidad académica, formación humanística, fortalecimiento de valores sociales mediante la integración armónica y una continua innovación educativa que genere un alto impacto en el sector por su proceso formativo.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