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240" w:before="240"/>
        <w:ind w:hanging="0" w:left="0" w:right="0"/>
      </w:pPr>
      <w:r>
        <w:rPr/>
        <w:t>Documentación de caso de uso</w:t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1.- Identificador y nombre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CU Descripción del Producto. 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2.- Descripción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>El caso de uso permite al cliente ver la descripción detallada de un producto de la tienda.</w:t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3.- Actores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color w:val="0000FF"/>
        </w:rPr>
        <w:t>Cliente.</w:t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4.- Pre-condiciones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El Cliente deberá estar en la página principal de la tienda. 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5.- Post-condiciones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El Cliente obtendrá una ventana con la descripción del producto que desea comprar.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225" w:before="0" w:line="100" w:lineRule="atLeast"/>
        <w:ind w:hanging="0" w:left="0" w:right="0"/>
      </w:pPr>
      <w:r>
        <w:rPr/>
        <w:t>6.- Flujo principal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Cliente se encuentra en la página principal de la tienda.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2.- El sistema muestra los productos que ofrece al Cliente.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3.- El Cliente da clic sobre algún producto de su interés.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4.- El sistema muestra una ventana con la descripción detallada de el producto elegido por el      Cliente.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5.- Fin de caso de uso.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80" w:before="360" w:line="100" w:lineRule="atLeast"/>
        <w:ind w:hanging="0" w:left="0" w:right="0"/>
      </w:pPr>
      <w:bookmarkStart w:id="0" w:name="h.ileor943xj5"/>
      <w:bookmarkEnd w:id="0"/>
      <w:r>
        <w:rPr/>
        <w:t>7.- Flujos alternativos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FA1: 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En “2” si el Cliente da clic en una Categoría de Productos. 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sistema muestra la ventana con los productos de la categoría que el cliente eligió.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2.-El sistema retoma el paso 3.  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FA2: 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En “4” si el Cliente da clic en la opción Regresar.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sistema retoma el paso 2.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225" w:before="0" w:line="100" w:lineRule="atLeast"/>
        <w:ind w:hanging="0" w:left="0" w:right="0"/>
      </w:pPr>
      <w:r>
        <w:rPr/>
        <w:t xml:space="preserve">Importancia para el negocio de este caso de uso: ALTA </w:t>
      </w:r>
    </w:p>
    <w:p>
      <w:pPr>
        <w:pStyle w:val="style0"/>
        <w:spacing w:after="225" w:before="0" w:line="100" w:lineRule="atLeast"/>
        <w:ind w:hanging="0" w:left="0" w:right="0"/>
      </w:pPr>
      <w:r>
        <w:rPr/>
        <w:t xml:space="preserve">Complejidad de implementación de caso de uso: BAJA </w:t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276" w:lineRule="auto"/>
      <w:ind w:hanging="0" w:left="0" w:right="0"/>
      <w:jc w:val="left"/>
    </w:pPr>
    <w:r>
      <w:rPr/>
    </w:r>
  </w:p>
  <w:p>
    <w:pPr>
      <w:pStyle w:val="style0"/>
      <w:spacing w:after="200" w:before="0" w:line="276" w:lineRule="auto"/>
      <w:ind w:hanging="0" w:left="0" w:right="0"/>
      <w:jc w:val="lef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276" w:lineRule="auto"/>
      <w:ind w:hanging="0" w:left="0" w:right="0"/>
      <w:jc w:val="left"/>
    </w:pPr>
    <w:r>
      <w:rPr/>
    </w:r>
  </w:p>
  <w:p>
    <w:pPr>
      <w:pStyle w:val="style0"/>
      <w:spacing w:after="0" w:before="0" w:line="276" w:lineRule="auto"/>
      <w:ind w:hanging="0" w:left="0" w:right="0"/>
      <w:jc w:val="left"/>
    </w:pPr>
    <w:r>
      <w:rPr/>
      <w:t>Documentación de caso de uso y requerimientos asociados</w:t>
      <w:tab/>
      <w:tab/>
      <w:tab/>
      <w:t>V1.0</w:t>
    </w:r>
  </w:p>
  <w:p>
    <w:pPr>
      <w:pStyle w:val="style0"/>
      <w:spacing w:after="200" w:before="0" w:line="276" w:lineRule="auto"/>
      <w:ind w:hanging="0" w:left="0" w:right="0"/>
      <w:jc w:val="left"/>
    </w:pPr>
    <w:r>
      <w:rPr/>
      <w:t>________________________________________________________________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6"/>
    <w:next w:val="style17"/>
    <w:pPr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240" w:before="240" w:line="100" w:lineRule="atLeast"/>
      <w:ind w:hanging="0" w:left="0" w:right="0"/>
      <w:outlineLvl w:val="0"/>
    </w:pPr>
    <w:rPr>
      <w:rFonts w:ascii="Liberation Serif" w:cs="Lohit Hindi" w:eastAsia="WenQuanYi Micro Hei" w:hAnsi="Liberation Serif"/>
      <w:b/>
      <w:bCs/>
      <w:i w:val="false"/>
      <w:color w:val="00000A"/>
      <w:sz w:val="36"/>
      <w:szCs w:val="28"/>
      <w:lang w:bidi="hi-IN" w:eastAsia="zh-CN" w:val="es-ES"/>
    </w:rPr>
  </w:style>
  <w:style w:styleId="style2" w:type="paragraph">
    <w:name w:val="Encabezado 2"/>
    <w:basedOn w:val="style16"/>
    <w:next w:val="style17"/>
    <w:pPr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225" w:before="225" w:line="100" w:lineRule="atLeast"/>
      <w:ind w:hanging="0" w:left="0" w:right="0"/>
      <w:outlineLvl w:val="1"/>
    </w:pPr>
    <w:rPr>
      <w:rFonts w:ascii="Liberation Serif" w:cs="Lohit Hindi" w:eastAsia="WenQuanYi Micro Hei" w:hAnsi="Liberation Serif"/>
      <w:b/>
      <w:bCs/>
      <w:i w:val="false"/>
      <w:iCs/>
      <w:color w:val="00000A"/>
      <w:sz w:val="28"/>
      <w:szCs w:val="28"/>
      <w:lang w:bidi="hi-IN" w:eastAsia="zh-CN" w:val="es-ES"/>
    </w:rPr>
  </w:style>
  <w:style w:styleId="style3" w:type="paragraph">
    <w:name w:val="Encabezado 3"/>
    <w:basedOn w:val="style16"/>
    <w:next w:val="style17"/>
    <w:pPr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240" w:before="240" w:line="100" w:lineRule="atLeast"/>
      <w:ind w:hanging="0" w:left="0" w:right="0"/>
      <w:outlineLvl w:val="2"/>
    </w:pPr>
    <w:rPr>
      <w:rFonts w:ascii="Liberation Serif" w:cs="Lohit Hindi" w:eastAsia="WenQuanYi Micro Hei" w:hAnsi="Liberation Serif"/>
      <w:b/>
      <w:bCs/>
      <w:i w:val="false"/>
      <w:color w:val="00000A"/>
      <w:sz w:val="24"/>
      <w:szCs w:val="28"/>
      <w:lang w:bidi="hi-IN" w:eastAsia="zh-CN" w:val="es-ES"/>
    </w:rPr>
  </w:style>
  <w:style w:styleId="style4" w:type="paragraph">
    <w:name w:val="Encabezado 4"/>
    <w:basedOn w:val="style16"/>
    <w:next w:val="style17"/>
    <w:pPr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255" w:before="255" w:line="100" w:lineRule="atLeast"/>
      <w:ind w:hanging="0" w:left="0" w:right="0"/>
      <w:outlineLvl w:val="3"/>
    </w:pPr>
    <w:rPr>
      <w:rFonts w:ascii="Liberation Serif" w:cs="Lohit Hindi" w:eastAsia="WenQuanYi Micro Hei" w:hAnsi="Liberation Serif"/>
      <w:b/>
      <w:bCs/>
      <w:i w:val="false"/>
      <w:iCs/>
      <w:color w:val="00000A"/>
      <w:sz w:val="20"/>
      <w:szCs w:val="20"/>
      <w:lang w:bidi="hi-IN" w:eastAsia="zh-CN" w:val="es-ES"/>
    </w:rPr>
  </w:style>
  <w:style w:styleId="style5" w:type="paragraph">
    <w:name w:val="Encabezado 5"/>
    <w:basedOn w:val="style16"/>
    <w:next w:val="style17"/>
    <w:pPr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255" w:before="255" w:line="100" w:lineRule="atLeast"/>
      <w:ind w:hanging="0" w:left="0" w:right="0"/>
      <w:outlineLvl w:val="4"/>
    </w:pPr>
    <w:rPr>
      <w:rFonts w:ascii="Liberation Serif" w:cs="Lohit Hindi" w:eastAsia="WenQuanYi Micro Hei" w:hAnsi="Liberation Serif"/>
      <w:b/>
      <w:bCs/>
      <w:i w:val="false"/>
      <w:color w:val="00000A"/>
      <w:sz w:val="16"/>
      <w:szCs w:val="20"/>
      <w:lang w:bidi="hi-IN" w:eastAsia="zh-CN" w:val="es-ES"/>
    </w:rPr>
  </w:style>
  <w:style w:styleId="style6" w:type="paragraph">
    <w:name w:val="Encabezado 6"/>
    <w:basedOn w:val="style16"/>
    <w:next w:val="style17"/>
    <w:pPr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360" w:before="360" w:line="100" w:lineRule="atLeast"/>
      <w:ind w:hanging="0" w:left="0" w:right="0"/>
      <w:outlineLvl w:val="5"/>
    </w:pPr>
    <w:rPr>
      <w:rFonts w:ascii="Liberation Serif" w:cs="Lohit Hindi" w:eastAsia="WenQuanYi Micro Hei" w:hAnsi="Liberation Serif"/>
      <w:b/>
      <w:bCs/>
      <w:i w:val="false"/>
      <w:color w:val="00000A"/>
      <w:sz w:val="16"/>
      <w:szCs w:val="18"/>
      <w:lang w:bidi="hi-IN" w:eastAsia="zh-CN" w:val="es-E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990" w:val="left"/>
      </w:tabs>
      <w:suppressAutoHyphens w:val="true"/>
      <w:spacing w:after="90" w:before="90" w:line="100" w:lineRule="atLeast"/>
      <w:ind w:hanging="0" w:left="90" w:right="90"/>
      <w:jc w:val="left"/>
    </w:pPr>
    <w:rPr>
      <w:rFonts w:ascii="Verdana" w:cs="Verdana" w:eastAsia="Verdana" w:hAnsi="Verdana"/>
      <w:color w:val="000000"/>
      <w:sz w:val="20"/>
      <w:szCs w:val="24"/>
      <w:shd w:fill="FFFFFF" w:val="clear"/>
      <w:lang w:bidi="hi-IN" w:eastAsia="zh-CN" w:val="es-ES"/>
    </w:rPr>
  </w:style>
  <w:style w:styleId="style22" w:type="paragraph">
    <w:name w:val="Título"/>
    <w:basedOn w:val="style21"/>
    <w:next w:val="style23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3" w:type="paragraph">
    <w:name w:val="Subtítulo"/>
    <w:basedOn w:val="style21"/>
    <w:next w:val="style17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4" w:type="paragraph">
    <w:name w:val="Encabezamiento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  <w:style w:styleId="style25" w:type="paragraph">
    <w:name w:val="Pie de página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Plantilla de documentación de caso de uso.docx</dc:title>
</cp:coreProperties>
</file>