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j9ympl38mqm" w:id="0"/>
      <w:bookmarkEnd w:id="0"/>
      <w:r w:rsidDel="00000000" w:rsidR="00000000" w:rsidRPr="00000000">
        <w:rPr>
          <w:rtl w:val="0"/>
        </w:rPr>
        <w:t xml:space="preserve">Technical Directive &amp; App Implementation Guide: Insecticide Resistance Management (IRM) and MoA Rotation Framework</w:t>
      </w:r>
    </w:p>
    <w:p w:rsidR="00000000" w:rsidDel="00000000" w:rsidP="00000000" w:rsidRDefault="00000000" w:rsidRPr="00000000" w14:paraId="00000002">
      <w:pPr>
        <w:pStyle w:val="Heading5"/>
        <w:rPr/>
      </w:pPr>
      <w:bookmarkStart w:colFirst="0" w:colLast="0" w:name="_z9kowmt58wb7" w:id="1"/>
      <w:bookmarkEnd w:id="1"/>
      <w:r w:rsidDel="00000000" w:rsidR="00000000" w:rsidRPr="00000000">
        <w:rPr>
          <w:rtl w:val="0"/>
        </w:rPr>
        <w:t xml:space="preserve">1. Foundational IRAC Principles and Mode of Action (MoA) Classification</w:t>
      </w:r>
    </w:p>
    <w:p w:rsidR="00000000" w:rsidDel="00000000" w:rsidP="00000000" w:rsidRDefault="00000000" w:rsidRPr="00000000" w14:paraId="00000003">
      <w:pPr>
        <w:pStyle w:val="Heading6"/>
        <w:rPr/>
      </w:pPr>
      <w:bookmarkStart w:colFirst="0" w:colLast="0" w:name="_o01xg9whqku" w:id="2"/>
      <w:bookmarkEnd w:id="2"/>
      <w:r w:rsidDel="00000000" w:rsidR="00000000" w:rsidRPr="00000000">
        <w:rPr>
          <w:rtl w:val="0"/>
        </w:rPr>
        <w:t xml:space="preserve">1.1 Strategic Context &amp; Institutional Charter</w:t>
      </w:r>
    </w:p>
    <w:p w:rsidR="00000000" w:rsidDel="00000000" w:rsidP="00000000" w:rsidRDefault="00000000" w:rsidRPr="00000000" w14:paraId="00000004">
      <w:pPr>
        <w:rPr/>
      </w:pPr>
      <w:r w:rsidDel="00000000" w:rsidR="00000000" w:rsidRPr="00000000">
        <w:rPr>
          <w:rtl w:val="0"/>
        </w:rPr>
        <w:t xml:space="preserve">Insecticide Resistance Management (IRM) is an operational necessity for sustaining crop protection efficacy and delaying the development of resistance in target insect populations. Chartered by the Insecticide Resistance Action Committee (IRAC)—an international organization dedicated to championing principles that reduce insecticide selection pressure on pest populations to sustain global agriculture, as well as sponsoring expert research and educational outreach—IRM frameworks provide the scientific basis to prevent chemical trial-and-failure in the field. Although the agrochemical industry has engineered highly effective chemical classes for agricultural pests, improper deployment and excessive selection pressure have led to critical field failures. A prime example is the diamondback moth ( </w:t>
      </w:r>
      <w:r w:rsidDel="00000000" w:rsidR="00000000" w:rsidRPr="00000000">
        <w:rPr>
          <w:i w:val="1"/>
          <w:iCs w:val="1"/>
          <w:rtl w:val="0"/>
        </w:rPr>
        <w:t xml:space="preserve">Plutella xylostella</w:t>
      </w:r>
      <w:r w:rsidDel="00000000" w:rsidR="00000000" w:rsidRPr="00000000">
        <w:rPr>
          <w:rtl w:val="0"/>
        </w:rPr>
        <w:t xml:space="preserve"> ), populations of which have developed resistance to virtually every insecticide class deployed against them. To protect both established chemistries and novel modes of action from rapid efficacy loss, agrochemical manufacturers and field managers are mandated to enforce standardized IRAC Mode of Action (MoA) label displays—featuring group numbers, visual icons, capitalized sub-group letters, and explicit chemical class descriptions—to guide precision farm management decisions.</w:t>
      </w:r>
    </w:p>
    <w:p w:rsidR="00000000" w:rsidDel="00000000" w:rsidP="00000000" w:rsidRDefault="00000000" w:rsidRPr="00000000" w14:paraId="00000005">
      <w:pPr>
        <w:pStyle w:val="Heading6"/>
        <w:rPr/>
      </w:pPr>
      <w:bookmarkStart w:colFirst="0" w:colLast="0" w:name="_bg7ssuoe6q4w" w:id="3"/>
      <w:bookmarkEnd w:id="3"/>
      <w:r w:rsidDel="00000000" w:rsidR="00000000" w:rsidRPr="00000000">
        <w:rPr>
          <w:rtl w:val="0"/>
        </w:rPr>
        <w:t xml:space="preserve">1.2 Structural Taxonomy: Main Groups vs. Sub-Groups</w:t>
      </w:r>
    </w:p>
    <w:p w:rsidR="00000000" w:rsidDel="00000000" w:rsidP="00000000" w:rsidRDefault="00000000" w:rsidRPr="00000000" w14:paraId="00000006">
      <w:pPr>
        <w:rPr/>
      </w:pPr>
      <w:r w:rsidDel="00000000" w:rsidR="00000000" w:rsidRPr="00000000">
        <w:rPr>
          <w:rtl w:val="0"/>
        </w:rPr>
        <w:t xml:space="preserve">The IRAC taxonomy categorizes active ingredients into main numbered MoA groups (e.g., Group 1, Group 4, Group 16, Group 22, Group 28) and sub-groups denoted by capital letters (e.g., 1A, 1B, 4A, 4C, 22A, 22B). Regulatory and labeling standards dictate that sub-group letters must be capitalized and rendered in the exact same font size as the main MoA number on all commercial packaging and documentation (for example, GROUP 1A INSECTICIDE, GROUP 4A INSECTICIDE, or GROUP 22A INSECTICIDE). Sub-groups represent distinct chemical classes that share a common biochemical target site. Because active ingredients sharing a target site carry inherent cross-resistance risks, standard IRM guidelines mandate that target-site rotations must be executed strictly between different main numbered MoA groups. Alternating solely between sub-groups of the same main numbered group (e.g., rotating from 4A to 4C) does not constitute a valid target-site rotation and is prohibited as a routine resistance management practice.</w:t>
      </w:r>
    </w:p>
    <w:p w:rsidR="00000000" w:rsidDel="00000000" w:rsidP="00000000" w:rsidRDefault="00000000" w:rsidRPr="00000000" w14:paraId="00000007">
      <w:pPr>
        <w:pStyle w:val="Heading6"/>
        <w:rPr/>
      </w:pPr>
      <w:bookmarkStart w:colFirst="0" w:colLast="0" w:name="_5d6jfa8gbb1h" w:id="4"/>
      <w:bookmarkEnd w:id="4"/>
      <w:r w:rsidDel="00000000" w:rsidR="00000000" w:rsidRPr="00000000">
        <w:rPr>
          <w:rtl w:val="0"/>
        </w:rPr>
        <w:t xml:space="preserve">1.3 Biochemical Target Site Classification &amp; Physiological Impact</w:t>
      </w:r>
    </w:p>
    <w:p w:rsidR="00000000" w:rsidDel="00000000" w:rsidP="00000000" w:rsidRDefault="00000000" w:rsidRPr="00000000" w14:paraId="00000008">
      <w:pPr>
        <w:rPr/>
      </w:pPr>
      <w:r w:rsidDel="00000000" w:rsidR="00000000" w:rsidRPr="00000000">
        <w:rPr>
          <w:rtl w:val="0"/>
        </w:rPr>
        <w:t xml:space="preserve">The table below provides a comprehensive taxonomy of primary biochemical target sites, their underlying physiological impacts, and their assigned IRAC MoA classifications based strictly on established standards:</w:t>
      </w:r>
    </w:p>
    <w:p w:rsidR="00000000" w:rsidDel="00000000" w:rsidP="00000000" w:rsidRDefault="00000000" w:rsidRPr="00000000" w14:paraId="00000009">
      <w:pPr>
        <w:rPr/>
      </w:pPr>
      <w:r w:rsidDel="00000000" w:rsidR="00000000" w:rsidRPr="00000000">
        <w:rPr>
          <w:rtl w:val="0"/>
        </w:rPr>
        <w:t xml:space="preserve">Physiological Target Category,Target Site &amp; Primary Mode of Action,IRAC Group &amp; Sub-Group,Chemical Classes &amp; Representative Active Ingredients,Speed of Action &amp; Physiological Impact</w:t>
      </w:r>
    </w:p>
    <w:p w:rsidR="00000000" w:rsidDel="00000000" w:rsidP="00000000" w:rsidRDefault="00000000" w:rsidRPr="00000000" w14:paraId="0000000A">
      <w:pPr>
        <w:rPr/>
      </w:pPr>
      <w:r w:rsidDel="00000000" w:rsidR="00000000" w:rsidRPr="00000000">
        <w:rPr>
          <w:rtl w:val="0"/>
        </w:rPr>
        <w:t xml:space="preserve">Nerve &amp; Muscle Targets,Acetylcholinesterase (AChE) inhibitors; causes hyperexcitation by inhibiting the enzyme that terminates acetylcholine at nerve synapses.,"Group 1 (1A, 1B)","1A: Carbamates (e.g., Methomyl, Thiodicarb) 1B: Organophosphates (e.g., Chlorpyrifos)",Fast acting.  Rapid nervous system hyperexcitation leading to immediate pest mortality.</w:t>
      </w:r>
    </w:p>
    <w:p w:rsidR="00000000" w:rsidDel="00000000" w:rsidP="00000000" w:rsidRDefault="00000000" w:rsidRPr="00000000" w14:paraId="0000000B">
      <w:pPr>
        <w:rPr/>
      </w:pPr>
      <w:r w:rsidDel="00000000" w:rsidR="00000000" w:rsidRPr="00000000">
        <w:rPr>
          <w:rtl w:val="0"/>
        </w:rPr>
        <w:t xml:space="preserve">Nerve &amp; Muscle Targets,"GABA-gated chloride channel blockers; blocks GABA-activated chloride channels, causing hyperexcitation and convulsions.","Group 2 (2A, 2B)","2A: Cyclodiene Organochlorines (e.g., Endosulfan) 2B: Phenylpyrazoles (e.g., Fipronil)",Fast acting.  Direct disruption of major inhibitory neurotransmission pathways.</w:t>
      </w:r>
    </w:p>
    <w:p w:rsidR="00000000" w:rsidDel="00000000" w:rsidP="00000000" w:rsidRDefault="00000000" w:rsidRPr="00000000" w14:paraId="0000000C">
      <w:pPr>
        <w:rPr/>
      </w:pPr>
      <w:r w:rsidDel="00000000" w:rsidR="00000000" w:rsidRPr="00000000">
        <w:rPr>
          <w:rtl w:val="0"/>
        </w:rPr>
        <w:t xml:space="preserve">Nerve &amp; Muscle Targets,"Sodium channel modulators; keeps sodium channels open, causing hyperexcitation and nerve block during action potential propagation.",Group 3 (3A),"3A: Pyrethrins, Pyrethroids (e.g., Cypermethrin, l-Cyhalothrin)",Fast acting.  Continuous nerve impulse firing resulting in rapid knockdown.</w:t>
      </w:r>
    </w:p>
    <w:p w:rsidR="00000000" w:rsidDel="00000000" w:rsidP="00000000" w:rsidRDefault="00000000" w:rsidRPr="00000000" w14:paraId="0000000D">
      <w:pPr>
        <w:rPr/>
      </w:pPr>
      <w:r w:rsidDel="00000000" w:rsidR="00000000" w:rsidRPr="00000000">
        <w:rPr>
          <w:rtl w:val="0"/>
        </w:rPr>
        <w:t xml:space="preserve">Nerve &amp; Muscle Targets,"Nicotinic acetylcholine receptor (nAChR) competitive modulators; binds to ACh site on nAChRs, causing hyperexcitation, lethargy, and paralysis.",Group 4 (4A),"4A: Neonicotinoids (e.g., Acetamiprid, Thiacloprid, Thiamethoxam)",Fast acting.  Central nervous system excitation followed by systemic block.</w:t>
      </w:r>
    </w:p>
    <w:p w:rsidR="00000000" w:rsidDel="00000000" w:rsidP="00000000" w:rsidRDefault="00000000" w:rsidRPr="00000000" w14:paraId="0000000E">
      <w:pPr>
        <w:rPr/>
      </w:pPr>
      <w:r w:rsidDel="00000000" w:rsidR="00000000" w:rsidRPr="00000000">
        <w:rPr>
          <w:rtl w:val="0"/>
        </w:rPr>
        <w:t xml:space="preserve">Nerve &amp; Muscle Targets,"nAChR allosteric modulators (Site 1); allosterically activates nAChRs at Site 1, causing nervous system hyperexcitation.",Group 5,"Spinosyns (e.g., Spinosad, Spinetoram)",Fast acting.  Continuous involuntary nervous excitation and muscular fatigue.</w:t>
      </w:r>
    </w:p>
    <w:p w:rsidR="00000000" w:rsidDel="00000000" w:rsidP="00000000" w:rsidRDefault="00000000" w:rsidRPr="00000000" w14:paraId="0000000F">
      <w:pPr>
        <w:rPr/>
      </w:pPr>
      <w:r w:rsidDel="00000000" w:rsidR="00000000" w:rsidRPr="00000000">
        <w:rPr>
          <w:rtl w:val="0"/>
        </w:rPr>
        <w:t xml:space="preserve">Nerve &amp; Muscle Targets,"Glutamate-gated chloride channel (GluCl) allosteric modulators; allosterically activates GluCls, leading to paralysis.",Group 6,"Avermectins, Milbemycins (e.g., Abamectin, Emamectin benzoate, Lepimectin)",Fast acting.  Flaccid paralysis driven by sustained inhibitory channel activation.</w:t>
      </w:r>
    </w:p>
    <w:p w:rsidR="00000000" w:rsidDel="00000000" w:rsidP="00000000" w:rsidRDefault="00000000" w:rsidRPr="00000000" w14:paraId="00000010">
      <w:pPr>
        <w:rPr/>
      </w:pPr>
      <w:r w:rsidDel="00000000" w:rsidR="00000000" w:rsidRPr="00000000">
        <w:rPr>
          <w:rtl w:val="0"/>
        </w:rPr>
        <w:t xml:space="preserve">Nerve &amp; Muscle Targets,"nAChR channel blockers; blocks nAChR ion channels, resulting in nervous system block and paralysis.",Group 14,"Bensultap, Cartap",Fast acting.  Direct physical blockage of cholinergic ion channels.</w:t>
      </w:r>
    </w:p>
    <w:p w:rsidR="00000000" w:rsidDel="00000000" w:rsidP="00000000" w:rsidRDefault="00000000" w:rsidRPr="00000000" w14:paraId="00000011">
      <w:pPr>
        <w:rPr/>
      </w:pPr>
      <w:r w:rsidDel="00000000" w:rsidR="00000000" w:rsidRPr="00000000">
        <w:rPr>
          <w:rtl w:val="0"/>
        </w:rPr>
        <w:t xml:space="preserve">Nerve &amp; Muscle Targets,"Voltage-dependent sodium channel blockers; blocks sodium channels along nerve axons, causing shutdown and paralysis.","Group 22 (22A, 22B)",22A: Indoxacarb 22B: Metaflumizone,Fast acting.  Complete cessation of nerve axon action potential propagation.</w:t>
      </w:r>
    </w:p>
    <w:p w:rsidR="00000000" w:rsidDel="00000000" w:rsidP="00000000" w:rsidRDefault="00000000" w:rsidRPr="00000000" w14:paraId="00000012">
      <w:pPr>
        <w:rPr/>
      </w:pPr>
      <w:r w:rsidDel="00000000" w:rsidR="00000000" w:rsidRPr="00000000">
        <w:rPr>
          <w:rtl w:val="0"/>
        </w:rPr>
        <w:t xml:space="preserve">Nerve &amp; Muscle Targets,"Ryanodine receptor modulators; activates muscle ryanodine receptors, inducing calcium release, contraction, and paralysis.",Group 28,"Diamides (e.g., Chlorantraniliprole, Cyantraniliprole, Cyclaniliprole, Flubendiamide)","Fast acting.  Muscle cell calcium depletion and sustained, lethal muscular contraction."</w:t>
      </w:r>
    </w:p>
    <w:p w:rsidR="00000000" w:rsidDel="00000000" w:rsidP="00000000" w:rsidRDefault="00000000" w:rsidRPr="00000000" w14:paraId="00000013">
      <w:pPr>
        <w:rPr/>
      </w:pPr>
      <w:r w:rsidDel="00000000" w:rsidR="00000000" w:rsidRPr="00000000">
        <w:rPr>
          <w:rtl w:val="0"/>
        </w:rPr>
        <w:t xml:space="preserve">Nerve &amp; Muscle Targets,"GABA-gated chloride channel allosteric modulators; allosterically blocks GABA channels, inducing hyperexcitation and convulsions.",Group 30,"Meta-diamides (e.g., Broflanilide)",Fast acting.  Convulsive inhibition of neural chloride regulation.</w:t>
      </w:r>
    </w:p>
    <w:p w:rsidR="00000000" w:rsidDel="00000000" w:rsidP="00000000" w:rsidRDefault="00000000" w:rsidRPr="00000000" w14:paraId="00000014">
      <w:pPr>
        <w:rPr/>
      </w:pPr>
      <w:r w:rsidDel="00000000" w:rsidR="00000000" w:rsidRPr="00000000">
        <w:rPr>
          <w:rtl w:val="0"/>
        </w:rPr>
        <w:t xml:space="preserve">Respiration Targets,"Uncouplers of oxidative phosphorylation via proton gradient disruption; short-circuits mitochondrial proton gradient, stopping ATP synthesis.",Group 13,Chlorfenapyr,Fast to moderately fast acting.  Halts cellular energy (ATP) production.</w:t>
      </w:r>
    </w:p>
    <w:p w:rsidR="00000000" w:rsidDel="00000000" w:rsidP="00000000" w:rsidRDefault="00000000" w:rsidRPr="00000000" w14:paraId="00000015">
      <w:pPr>
        <w:rPr/>
      </w:pPr>
      <w:r w:rsidDel="00000000" w:rsidR="00000000" w:rsidRPr="00000000">
        <w:rPr>
          <w:rtl w:val="0"/>
        </w:rPr>
        <w:t xml:space="preserve">Respiration Targets,"Mitochondrial complex I electron transport inhibitors; inhibits complex I, preventing energy utilization by cells.",Group 21 (21A),21A: Tolfenpyrad,Fast to moderately fast acting.  Arrests the mitochondrial respiration chain.</w:t>
      </w:r>
    </w:p>
    <w:p w:rsidR="00000000" w:rsidDel="00000000" w:rsidP="00000000" w:rsidRDefault="00000000" w:rsidRPr="00000000" w14:paraId="00000016">
      <w:pPr>
        <w:rPr/>
      </w:pPr>
      <w:r w:rsidDel="00000000" w:rsidR="00000000" w:rsidRPr="00000000">
        <w:rPr>
          <w:rtl w:val="0"/>
        </w:rPr>
        <w:t xml:space="preserve">Midgut Targets,"Microbial disruptors of midgut membranes; toxins bind midgut receptors, forming pores that cause ionic imbalance and septicemia.","Group 11 (11A, 11B)",11A:  Bacillus thuringiensis  11B:  Bacillus sphaericus,Moderately fast acting.  Midgut epithelium perforation and systemic septicemia.</w:t>
      </w:r>
    </w:p>
    <w:p w:rsidR="00000000" w:rsidDel="00000000" w:rsidP="00000000" w:rsidRDefault="00000000" w:rsidRPr="00000000" w14:paraId="00000017">
      <w:pPr>
        <w:rPr/>
      </w:pPr>
      <w:r w:rsidDel="00000000" w:rsidR="00000000" w:rsidRPr="00000000">
        <w:rPr>
          <w:rtl w:val="0"/>
        </w:rPr>
        <w:t xml:space="preserve">Midgut Targets,Host-specific occluded pathogenic viruses; viral infection of host midgut tissues.,Group 31,"Granuloviruses, Nucleopolyhedroviruses",Moderately fast acting.  Pathogenic viral replication within host tissues.</w:t>
      </w:r>
    </w:p>
    <w:p w:rsidR="00000000" w:rsidDel="00000000" w:rsidP="00000000" w:rsidRDefault="00000000" w:rsidRPr="00000000" w14:paraId="00000018">
      <w:pPr>
        <w:rPr/>
      </w:pPr>
      <w:r w:rsidDel="00000000" w:rsidR="00000000" w:rsidRPr="00000000">
        <w:rPr>
          <w:rtl w:val="0"/>
        </w:rPr>
        <w:t xml:space="preserve">Growth &amp; Development Targets,Juvenile hormone mimics; applied in pre-metamorphic instars to disrupt and prevent metamorphosis.,Group 7 (7B),"7B: Juvenile hormone analogues (e.g., Fenoxycarb)",Slow to moderately slow acting.  Hormonal disruption during developmental transitions.</w:t>
      </w:r>
    </w:p>
    <w:p w:rsidR="00000000" w:rsidDel="00000000" w:rsidP="00000000" w:rsidRDefault="00000000" w:rsidRPr="00000000" w14:paraId="00000019">
      <w:pPr>
        <w:rPr/>
      </w:pPr>
      <w:r w:rsidDel="00000000" w:rsidR="00000000" w:rsidRPr="00000000">
        <w:rPr>
          <w:rtl w:val="0"/>
        </w:rPr>
        <w:t xml:space="preserve">Growth &amp; Development Targets,Inhibitors of chitin biosynthesis affecting CHS1; incompletely defined mechanism resulting in chitin synthesis failure during ecdysis.,Group 15,"Benzoylureas (e.g., Flufenoxuron, Lufenuron, Novaluron)",Slow to moderately slow acting.  Prevents proper exoskeleton formation during molting.</w:t>
      </w:r>
    </w:p>
    <w:p w:rsidR="00000000" w:rsidDel="00000000" w:rsidP="00000000" w:rsidRDefault="00000000" w:rsidRPr="00000000" w14:paraId="0000001A">
      <w:pPr>
        <w:rPr/>
      </w:pPr>
      <w:r w:rsidDel="00000000" w:rsidR="00000000" w:rsidRPr="00000000">
        <w:rPr>
          <w:rtl w:val="0"/>
        </w:rPr>
        <w:t xml:space="preserve">Growth &amp; Development Targets,"Ecdysone receptor agonists; mimics moulting hormone ecdysone, inducing precocious, lethal molting.",Group 18,"Diacylhydrazines (e.g., Methoxyfenozide, Tebufenozide)",Slow to moderately slow acting.  Premature initiation of lethal molting cycle.</w:t>
      </w:r>
    </w:p>
    <w:p w:rsidR="00000000" w:rsidDel="00000000" w:rsidP="00000000" w:rsidRDefault="00000000" w:rsidRPr="00000000" w14:paraId="0000001B">
      <w:pPr>
        <w:rPr/>
      </w:pPr>
      <w:r w:rsidDel="00000000" w:rsidR="00000000" w:rsidRPr="00000000">
        <w:rPr>
          <w:rtl w:val="0"/>
        </w:rPr>
        <w:t xml:space="preserve">Unknown / Uncertain,Compounds of unknown or uncertain MoA.,Group UN,"Azadirachtin, Pyridalyl",Variable acting depending on active ingredient structure.</w:t>
      </w:r>
    </w:p>
    <w:p w:rsidR="00000000" w:rsidDel="00000000" w:rsidP="00000000" w:rsidRDefault="00000000" w:rsidRPr="00000000" w14:paraId="0000001C">
      <w:pPr>
        <w:rPr/>
      </w:pPr>
      <w:r w:rsidDel="00000000" w:rsidR="00000000" w:rsidRPr="00000000">
        <w:rPr>
          <w:rtl w:val="0"/>
        </w:rPr>
        <w:t xml:space="preserve">Unknown / Uncertain,Non-Bt bacterial agents of unknown or uncertain MoA.,Group UNB,Burkholderia  spp.,Biological pest suppression via undetermined pathways.</w:t>
      </w:r>
    </w:p>
    <w:p w:rsidR="00000000" w:rsidDel="00000000" w:rsidP="00000000" w:rsidRDefault="00000000" w:rsidRPr="00000000" w14:paraId="0000001D">
      <w:pPr>
        <w:rPr/>
      </w:pPr>
      <w:r w:rsidDel="00000000" w:rsidR="00000000" w:rsidRPr="00000000">
        <w:rPr>
          <w:rtl w:val="0"/>
        </w:rPr>
        <w:t xml:space="preserve">Unknown / Uncertain,Fungal agents of unknown or uncertain MoA.,Group UNF,"Beauveria bassiana ,  Paecilomyces fumosoroseus",Entomopathogenic fungal tissue invasion and host collapse.</w:t>
      </w:r>
    </w:p>
    <w:p w:rsidR="00000000" w:rsidDel="00000000" w:rsidP="00000000" w:rsidRDefault="00000000" w:rsidRPr="00000000" w14:paraId="0000001E">
      <w:pPr>
        <w:pStyle w:val="Heading6"/>
        <w:rPr/>
      </w:pPr>
      <w:bookmarkStart w:colFirst="0" w:colLast="0" w:name="_wyf8jg1y0596" w:id="5"/>
      <w:bookmarkEnd w:id="5"/>
      <w:r w:rsidDel="00000000" w:rsidR="00000000" w:rsidRPr="00000000">
        <w:rPr>
          <w:rtl w:val="0"/>
        </w:rPr>
        <w:t xml:space="preserve">1.4 Section Summary &amp; Transition</w:t>
      </w:r>
    </w:p>
    <w:p w:rsidR="00000000" w:rsidDel="00000000" w:rsidP="00000000" w:rsidRDefault="00000000" w:rsidRPr="00000000" w14:paraId="0000001F">
      <w:pPr>
        <w:rPr/>
      </w:pPr>
      <w:r w:rsidDel="00000000" w:rsidR="00000000" w:rsidRPr="00000000">
        <w:rPr>
          <w:rtl w:val="0"/>
        </w:rPr>
        <w:t xml:space="preserve">Establishing a rigorous understanding of these biochemical targets and speed-of-action profiles provides the prerequisite scientific baseline for structuring operational treatment windows and sequential field rotation rules.</w:t>
      </w:r>
    </w:p>
    <w:p w:rsidR="00000000" w:rsidDel="00000000" w:rsidP="00000000" w:rsidRDefault="00000000" w:rsidRPr="00000000" w14:paraId="00000020">
      <w:pPr>
        <w:pStyle w:val="Heading5"/>
        <w:rPr/>
      </w:pPr>
      <w:bookmarkStart w:colFirst="0" w:colLast="0" w:name="_bvvmpadnr5iw" w:id="6"/>
      <w:bookmarkEnd w:id="6"/>
      <w:r w:rsidDel="00000000" w:rsidR="00000000" w:rsidRPr="00000000">
        <w:rPr>
          <w:rtl w:val="0"/>
        </w:rPr>
        <w:t xml:space="preserve">2. Treatment Window Strategy &amp; Sequential Rotation Rules</w:t>
      </w:r>
    </w:p>
    <w:p w:rsidR="00000000" w:rsidDel="00000000" w:rsidP="00000000" w:rsidRDefault="00000000" w:rsidRPr="00000000" w14:paraId="00000021">
      <w:pPr>
        <w:pStyle w:val="Heading6"/>
        <w:rPr/>
      </w:pPr>
      <w:bookmarkStart w:colFirst="0" w:colLast="0" w:name="_y1wk6prcw3mv" w:id="7"/>
      <w:bookmarkEnd w:id="7"/>
      <w:r w:rsidDel="00000000" w:rsidR="00000000" w:rsidRPr="00000000">
        <w:rPr>
          <w:rtl w:val="0"/>
        </w:rPr>
        <w:t xml:space="preserve">2.1 Treatment Window Mechanics &amp; Biological Alignment</w:t>
      </w:r>
    </w:p>
    <w:p w:rsidR="00000000" w:rsidDel="00000000" w:rsidP="00000000" w:rsidRDefault="00000000" w:rsidRPr="00000000" w14:paraId="00000022">
      <w:pPr>
        <w:rPr/>
      </w:pPr>
      <w:r w:rsidDel="00000000" w:rsidR="00000000" w:rsidRPr="00000000">
        <w:rPr>
          <w:rtl w:val="0"/>
        </w:rPr>
        <w:t xml:space="preserve">Structuring insecticide applications into defined "Treatment Windows" is an essential operational strategy designed to break selection pressure across successive pest generations. Continuous, multi-generational exposure of a pest population to a single MoA group applies relentless selection pressure, rapidly selecting for homozygous resistant alleles and causing population-wide efficacy failure. Conversely, establishing discrete treatment windows aligned with target biology enforces a systematic break in selection pressure. This break allows susceptible individuals surviving outside the treatment boundary to reproduce, thereby diluting resistant alleles within the local gene pool.</w:t>
      </w:r>
    </w:p>
    <w:p w:rsidR="00000000" w:rsidDel="00000000" w:rsidP="00000000" w:rsidRDefault="00000000" w:rsidRPr="00000000" w14:paraId="00000023">
      <w:pPr>
        <w:rPr/>
      </w:pPr>
      <w:r w:rsidDel="00000000" w:rsidR="00000000" w:rsidRPr="00000000">
        <w:rPr>
          <w:rtl w:val="0"/>
        </w:rPr>
        <w:t xml:space="preserve">The temporal parameter of a Treatment Window is dictated directly by pest life cycles and crop duration:</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Standard Multi-Generational Pests:</w:t>
      </w:r>
      <w:r w:rsidDel="00000000" w:rsidR="00000000" w:rsidRPr="00000000">
        <w:rPr>
          <w:rtl w:val="0"/>
        </w:rPr>
        <w:t xml:space="preserve">  Defined by an approximate  </w:t>
      </w:r>
      <w:r w:rsidDel="00000000" w:rsidR="00000000" w:rsidRPr="00000000">
        <w:rPr>
          <w:b w:val="1"/>
          <w:bCs w:val="1"/>
          <w:rtl w:val="0"/>
        </w:rPr>
        <w:t xml:space="preserve">30-day window duration</w:t>
      </w:r>
      <w:r w:rsidDel="00000000" w:rsidR="00000000" w:rsidRPr="00000000">
        <w:rPr>
          <w:rtl w:val="0"/>
        </w:rPr>
        <w:t xml:space="preserve"> , corresponding to the standard biological generation time of lepidopteran and coleopteran targets.</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Fast-Reproducing Sucking Pests:</w:t>
      </w:r>
      <w:r w:rsidDel="00000000" w:rsidR="00000000" w:rsidRPr="00000000">
        <w:rPr>
          <w:rtl w:val="0"/>
        </w:rPr>
        <w:t xml:space="preserve">  Defined by an abbreviated  </w:t>
      </w:r>
      <w:r w:rsidDel="00000000" w:rsidR="00000000" w:rsidRPr="00000000">
        <w:rPr>
          <w:b w:val="1"/>
          <w:bCs w:val="1"/>
          <w:rtl w:val="0"/>
        </w:rPr>
        <w:t xml:space="preserve">~15-day window duration</w:t>
      </w:r>
      <w:r w:rsidDel="00000000" w:rsidR="00000000" w:rsidRPr="00000000">
        <w:rPr>
          <w:rtl w:val="0"/>
        </w:rPr>
        <w:t xml:space="preserve">  to account for the compressed generation turnover of rapid-reproducing taxa such as aphids, whiteflies, and mites.</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Short-Cycle Crops (&lt;50 Days):</w:t>
      </w:r>
      <w:r w:rsidDel="00000000" w:rsidR="00000000" w:rsidRPr="00000000">
        <w:rPr>
          <w:rtl w:val="0"/>
        </w:rPr>
        <w:t xml:space="preserve">  For short-duration crops (e.g., leafy greens), the entire cropping cycle duration is designated as a single treatment window, requiring a complete MoA class rotation in subsequent crop plantings at that field site.</w:t>
      </w:r>
    </w:p>
    <w:p w:rsidR="00000000" w:rsidDel="00000000" w:rsidP="00000000" w:rsidRDefault="00000000" w:rsidRPr="00000000" w14:paraId="00000027">
      <w:pPr>
        <w:rPr/>
      </w:pPr>
      <w:r w:rsidDel="00000000" w:rsidR="00000000" w:rsidRPr="00000000">
        <w:rPr>
          <w:rtl w:val="0"/>
        </w:rPr>
        <w:t xml:space="preserve">All residual activity resulting from single or back-to-back applications of a given MoA group must remain strictly within the temporal boundary of that designated window to avoid overlapping exposure into the succeeding pest generation.</w:t>
      </w:r>
    </w:p>
    <w:p w:rsidR="00000000" w:rsidDel="00000000" w:rsidP="00000000" w:rsidRDefault="00000000" w:rsidRPr="00000000" w14:paraId="00000028">
      <w:pPr>
        <w:pStyle w:val="Heading6"/>
        <w:rPr/>
      </w:pPr>
      <w:bookmarkStart w:colFirst="0" w:colLast="0" w:name="_t3zs6mmsfvgs" w:id="8"/>
      <w:bookmarkEnd w:id="8"/>
      <w:r w:rsidDel="00000000" w:rsidR="00000000" w:rsidRPr="00000000">
        <w:rPr>
          <w:rtl w:val="0"/>
        </w:rPr>
        <w:t xml:space="preserve">2.2 Sequential Rotation Rules &amp; Within-Window Limits</w:t>
      </w:r>
    </w:p>
    <w:p w:rsidR="00000000" w:rsidDel="00000000" w:rsidP="00000000" w:rsidRDefault="00000000" w:rsidRPr="00000000" w14:paraId="00000029">
      <w:pPr>
        <w:rPr/>
      </w:pPr>
      <w:r w:rsidDel="00000000" w:rsidR="00000000" w:rsidRPr="00000000">
        <w:rPr>
          <w:rtl w:val="0"/>
        </w:rPr>
        <w:t xml:space="preserve">To operationalize a compliant IRM framework, field scheduling must enforce three mandatory rotation rules:</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Window-to-Window Rotation:</w:t>
      </w:r>
      <w:r w:rsidDel="00000000" w:rsidR="00000000" w:rsidRPr="00000000">
        <w:rPr>
          <w:rtl w:val="0"/>
        </w:rPr>
        <w:t xml:space="preserve">  Management must enforce a total prohibition on applying the same main numbered MoA group across consecutive treatment windows. Once a treatment window utilizing a specific MoA group closes, the subsequent window must rotate to an effective chemistry from a completely different numbered MoA group.</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Within-Window Limits:</w:t>
      </w:r>
      <w:r w:rsidDel="00000000" w:rsidR="00000000" w:rsidRPr="00000000">
        <w:rPr>
          <w:rtl w:val="0"/>
        </w:rPr>
        <w:t xml:space="preserve">  Multiple applications (generally 1 to 2, strictly maximum &lt;3) of the same MoA group are permissible within a single window only if they target the same single pest generation and their combined residual activity duration does not exceed the window's temporal limit.</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Dose Discipline &amp; Application Integrity:</w:t>
      </w:r>
      <w:r w:rsidDel="00000000" w:rsidR="00000000" w:rsidRPr="00000000">
        <w:rPr>
          <w:rtl w:val="0"/>
        </w:rPr>
        <w:t xml:space="preserve">  Active ingredients must always be applied at full recommended label rates. Under-dosing accelerates resistance development by killing highly susceptible individuals while permitting moderately resistant heterozygotes to survive and pass on resistance traits. Conversely, over-dosing must be avoided to minimize negative impacts on non-target beneficial organisms. Precision application equipment must be regularly calibrated and maintained, and minimum spray intervals (e.g., a mandatory 7-day minimum re-application interval) must be strictly maintained.</w:t>
      </w:r>
    </w:p>
    <w:p w:rsidR="00000000" w:rsidDel="00000000" w:rsidP="00000000" w:rsidRDefault="00000000" w:rsidRPr="00000000" w14:paraId="0000002D">
      <w:pPr>
        <w:pStyle w:val="Heading6"/>
        <w:rPr/>
      </w:pPr>
      <w:bookmarkStart w:colFirst="0" w:colLast="0" w:name="_yxf0gupcf3y2" w:id="9"/>
      <w:bookmarkEnd w:id="9"/>
      <w:r w:rsidDel="00000000" w:rsidR="00000000" w:rsidRPr="00000000">
        <w:rPr>
          <w:rtl w:val="0"/>
        </w:rPr>
        <w:t xml:space="preserve">2.3 The 50% Exposure Cap &amp; Sub-Group Constraints</w:t>
      </w:r>
    </w:p>
    <w:p w:rsidR="00000000" w:rsidDel="00000000" w:rsidP="00000000" w:rsidRDefault="00000000" w:rsidRPr="00000000" w14:paraId="0000002E">
      <w:pPr>
        <w:rPr/>
      </w:pPr>
      <w:r w:rsidDel="00000000" w:rsidR="00000000" w:rsidRPr="00000000">
        <w:rPr>
          <w:rtl w:val="0"/>
        </w:rPr>
        <w:t xml:space="preserve">To prevent seasonal over-reliance on any single active class, agronomic plans must implement double exposure caps: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Seasonal Duration Cap:</w:t>
      </w:r>
      <w:r w:rsidDel="00000000" w:rsidR="00000000" w:rsidRPr="00000000">
        <w:rPr>
          <w:rtl w:val="0"/>
        </w:rPr>
        <w:t xml:space="preserve">  The cumulative duration of all treatment windows utilizing the same MoA group throughout a cropping season (from nursery/sowing to harvest) must not exceed 50% of the total crop cycle duration.</w:t>
      </w:r>
    </w:p>
    <w:p w:rsidR="00000000" w:rsidDel="00000000" w:rsidP="00000000" w:rsidRDefault="00000000" w:rsidRPr="00000000" w14:paraId="00000030">
      <w:pPr>
        <w:numPr>
          <w:ilvl w:val="0"/>
          <w:numId w:val="8"/>
        </w:numPr>
        <w:ind w:left="720" w:hanging="360"/>
        <w:rPr>
          <w:u w:val="none"/>
        </w:rPr>
      </w:pPr>
      <w:r w:rsidDel="00000000" w:rsidR="00000000" w:rsidRPr="00000000">
        <w:rPr>
          <w:b w:val="1"/>
          <w:bCs w:val="1"/>
          <w:rtl w:val="0"/>
        </w:rPr>
        <w:t xml:space="preserve">Application Count Cap:</w:t>
      </w:r>
      <w:r w:rsidDel="00000000" w:rsidR="00000000" w:rsidRPr="00000000">
        <w:rPr>
          <w:rtl w:val="0"/>
        </w:rPr>
        <w:t xml:space="preserve">  The total number of applications belonging to a single MoA group must not exceed 50% of the total insecticide applications targeted against a specific pest species within that season.</w:t>
      </w:r>
    </w:p>
    <w:p w:rsidR="00000000" w:rsidDel="00000000" w:rsidP="00000000" w:rsidRDefault="00000000" w:rsidRPr="00000000" w14:paraId="00000031">
      <w:pPr>
        <w:numPr>
          <w:ilvl w:val="0"/>
          <w:numId w:val="8"/>
        </w:numPr>
        <w:ind w:left="720" w:hanging="360"/>
        <w:rPr>
          <w:u w:val="none"/>
        </w:rPr>
      </w:pPr>
      <w:r w:rsidDel="00000000" w:rsidR="00000000" w:rsidRPr="00000000">
        <w:rPr>
          <w:b w:val="1"/>
          <w:bCs w:val="1"/>
          <w:rtl w:val="0"/>
        </w:rPr>
        <w:t xml:space="preserve">Sub-Group Constraints:</w:t>
      </w:r>
      <w:r w:rsidDel="00000000" w:rsidR="00000000" w:rsidRPr="00000000">
        <w:rPr>
          <w:rtl w:val="0"/>
        </w:rPr>
        <w:t xml:space="preserve">  Standard IRM compliance explicitly forbids rotating between sub-groups of the same main group (e.g., 4A Neonicotinoids to 4C Sulfoximines) as a standard practice. Rotating between sub-groups is permitted only as an emergency exception when no distinct numbered MoA main classes are commercially available or registered for the target pest.</w:t>
      </w:r>
    </w:p>
    <w:p w:rsidR="00000000" w:rsidDel="00000000" w:rsidP="00000000" w:rsidRDefault="00000000" w:rsidRPr="00000000" w14:paraId="00000032">
      <w:pPr>
        <w:pStyle w:val="Heading6"/>
        <w:rPr/>
      </w:pPr>
      <w:bookmarkStart w:colFirst="0" w:colLast="0" w:name="_skf74vq4z8kd" w:id="10"/>
      <w:bookmarkEnd w:id="10"/>
      <w:r w:rsidDel="00000000" w:rsidR="00000000" w:rsidRPr="00000000">
        <w:rPr>
          <w:rtl w:val="0"/>
        </w:rPr>
        <w:t xml:space="preserve">2.4 Section Summary &amp; Transition</w:t>
      </w:r>
    </w:p>
    <w:p w:rsidR="00000000" w:rsidDel="00000000" w:rsidP="00000000" w:rsidRDefault="00000000" w:rsidRPr="00000000" w14:paraId="00000033">
      <w:pPr>
        <w:rPr/>
      </w:pPr>
      <w:r w:rsidDel="00000000" w:rsidR="00000000" w:rsidRPr="00000000">
        <w:rPr>
          <w:rtl w:val="0"/>
        </w:rPr>
        <w:t xml:space="preserve">With window parameters and exposure limits systematically defined, these rotation rules must be systematically mapped to specific crop development phases and insect life-stage vulnerabilities.</w:t>
      </w:r>
    </w:p>
    <w:p w:rsidR="00000000" w:rsidDel="00000000" w:rsidP="00000000" w:rsidRDefault="00000000" w:rsidRPr="00000000" w14:paraId="00000034">
      <w:pPr>
        <w:pStyle w:val="Heading5"/>
        <w:rPr/>
      </w:pPr>
      <w:bookmarkStart w:colFirst="0" w:colLast="0" w:name="_gsweslva6hss" w:id="11"/>
      <w:bookmarkEnd w:id="11"/>
      <w:r w:rsidDel="00000000" w:rsidR="00000000" w:rsidRPr="00000000">
        <w:rPr>
          <w:rtl w:val="0"/>
        </w:rPr>
        <w:t xml:space="preserve">3. Crop Phase &amp; Pest Life Stage Target Alignment</w:t>
      </w:r>
    </w:p>
    <w:p w:rsidR="00000000" w:rsidDel="00000000" w:rsidP="00000000" w:rsidRDefault="00000000" w:rsidRPr="00000000" w14:paraId="00000035">
      <w:pPr>
        <w:pStyle w:val="Heading6"/>
        <w:rPr/>
      </w:pPr>
      <w:bookmarkStart w:colFirst="0" w:colLast="0" w:name="_blgr241f4me" w:id="12"/>
      <w:bookmarkEnd w:id="12"/>
      <w:r w:rsidDel="00000000" w:rsidR="00000000" w:rsidRPr="00000000">
        <w:rPr>
          <w:rtl w:val="0"/>
        </w:rPr>
        <w:t xml:space="preserve">3.1 Early Season / Nursery Stage Protocols</w:t>
      </w:r>
    </w:p>
    <w:p w:rsidR="00000000" w:rsidDel="00000000" w:rsidP="00000000" w:rsidRDefault="00000000" w:rsidRPr="00000000" w14:paraId="00000036">
      <w:pPr>
        <w:rPr/>
      </w:pPr>
      <w:r w:rsidDel="00000000" w:rsidR="00000000" w:rsidRPr="00000000">
        <w:rPr>
          <w:rtl w:val="0"/>
        </w:rPr>
        <w:t xml:space="preserve">Early-season interventions set the baseline for resistance management by establishing a clean crop without exposing early pest generations to repetitive selection pressure. Soil drenches, seedling tray treatments, and seed treatments (e.g., Group 4A neonicotinoids applied pre-sowing or at transplanting) represent the initial exposure window (Window 1). Crucially, any immediate foliar follow-up applications applied after transplanting in the main field must rotate to a completely different numbered MoA group (e.g., Group 28 or Group 15) to prevent double-exposing early-season pest populations to the seed-treatment chemistry.</w:t>
      </w:r>
    </w:p>
    <w:p w:rsidR="00000000" w:rsidDel="00000000" w:rsidP="00000000" w:rsidRDefault="00000000" w:rsidRPr="00000000" w14:paraId="00000037">
      <w:pPr>
        <w:pStyle w:val="Heading6"/>
        <w:rPr/>
      </w:pPr>
      <w:bookmarkStart w:colFirst="0" w:colLast="0" w:name="_e7yn8h7onzjx" w:id="13"/>
      <w:bookmarkEnd w:id="13"/>
      <w:r w:rsidDel="00000000" w:rsidR="00000000" w:rsidRPr="00000000">
        <w:rPr>
          <w:rtl w:val="0"/>
        </w:rPr>
        <w:t xml:space="preserve">3.2 Vegetative Stage &amp; Juvenile Life Stage Targeting</w:t>
      </w:r>
    </w:p>
    <w:p w:rsidR="00000000" w:rsidDel="00000000" w:rsidP="00000000" w:rsidRDefault="00000000" w:rsidRPr="00000000" w14:paraId="00000038">
      <w:pPr>
        <w:rPr/>
      </w:pPr>
      <w:r w:rsidDel="00000000" w:rsidR="00000000" w:rsidRPr="00000000">
        <w:rPr>
          <w:rtl w:val="0"/>
        </w:rPr>
        <w:t xml:space="preserve">During rapid leaf and canopy expansion in the vegetative phase, field scouting must prioritize targeting juvenile insect stages (larvae or nymphs). Slow- to moderately slow-acting growth regulators and developmental inhibitors provide exceptional efficacy during this phase:</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Inhibitors of Chitin Biosynthesis Affecting CHS1 (Group 15):</w:t>
      </w:r>
      <w:r w:rsidDel="00000000" w:rsidR="00000000" w:rsidRPr="00000000">
        <w:rPr>
          <w:rtl w:val="0"/>
        </w:rPr>
        <w:t xml:space="preserve">  Benzoylureas (e.g., Flufenoxuron, Lufenuron, Novaluron) disrupt cuticle synthesis during molting, selectively controlling young lepidopteran instars.</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Inhibitors of Chitin Biosynthesis / Nymphal Development (Group 16):</w:t>
      </w:r>
      <w:r w:rsidDel="00000000" w:rsidR="00000000" w:rsidRPr="00000000">
        <w:rPr>
          <w:rtl w:val="0"/>
        </w:rPr>
        <w:t xml:space="preserve">  Buprofezin (MoA Group 16) specifically targets chitin synthesis during nymphal stages, serving as a primary intervention for planthopper and leafhopper nymph management.</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Juvenile Hormone Mimics (Group 7B):</w:t>
      </w:r>
      <w:r w:rsidDel="00000000" w:rsidR="00000000" w:rsidRPr="00000000">
        <w:rPr>
          <w:rtl w:val="0"/>
        </w:rPr>
        <w:t xml:space="preserve">  Formulations such as Fenoxycarb disrupt metamorphic progression in pre-metamorphic insect instars.</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Ecdysone Receptor Agonists (Group 18):</w:t>
      </w:r>
      <w:r w:rsidDel="00000000" w:rsidR="00000000" w:rsidRPr="00000000">
        <w:rPr>
          <w:rtl w:val="0"/>
        </w:rPr>
        <w:t xml:space="preserve">  Diacylhydrazines (e.g., Methoxyfenozide, Tebufenozide) induce premature, lethal molting in developing larvae.</w:t>
      </w:r>
    </w:p>
    <w:p w:rsidR="00000000" w:rsidDel="00000000" w:rsidP="00000000" w:rsidRDefault="00000000" w:rsidRPr="00000000" w14:paraId="0000003D">
      <w:pPr>
        <w:pStyle w:val="Heading6"/>
        <w:rPr/>
      </w:pPr>
      <w:bookmarkStart w:colFirst="0" w:colLast="0" w:name="_iz8c73u4hslc" w:id="14"/>
      <w:bookmarkEnd w:id="14"/>
      <w:r w:rsidDel="00000000" w:rsidR="00000000" w:rsidRPr="00000000">
        <w:rPr>
          <w:rtl w:val="0"/>
        </w:rPr>
        <w:t xml:space="preserve">3.3 Reproductive &amp; Heading Stage Strategy</w:t>
      </w:r>
    </w:p>
    <w:p w:rsidR="00000000" w:rsidDel="00000000" w:rsidP="00000000" w:rsidRDefault="00000000" w:rsidRPr="00000000" w14:paraId="0000003E">
      <w:pPr>
        <w:rPr/>
      </w:pPr>
      <w:r w:rsidDel="00000000" w:rsidR="00000000" w:rsidRPr="00000000">
        <w:rPr>
          <w:rtl w:val="0"/>
        </w:rPr>
        <w:t xml:space="preserve">When crops transition into heading, flowering, or fruit-set stages (e.g., brassica head formation or soybean stages R3–R6), pest density thresholds, adult migration, and severe late-stage infestations demand rapid feeding suppression and knockdown chemistries. Fast-acting nerve, muscle, or specialized feeding-blocker chemistries should be deployed in structured window blocks:</w:t>
      </w:r>
    </w:p>
    <w:p w:rsidR="00000000" w:rsidDel="00000000" w:rsidP="00000000" w:rsidRDefault="00000000" w:rsidRPr="00000000" w14:paraId="0000003F">
      <w:pPr>
        <w:numPr>
          <w:ilvl w:val="0"/>
          <w:numId w:val="7"/>
        </w:numPr>
        <w:ind w:left="720" w:hanging="360"/>
        <w:rPr>
          <w:u w:val="none"/>
        </w:rPr>
      </w:pPr>
      <w:r w:rsidDel="00000000" w:rsidR="00000000" w:rsidRPr="00000000">
        <w:rPr>
          <w:b w:val="1"/>
          <w:bCs w:val="1"/>
          <w:rtl w:val="0"/>
        </w:rPr>
        <w:t xml:space="preserve">Ryanodine Receptor Modulators (Group 28):</w:t>
      </w:r>
      <w:r w:rsidDel="00000000" w:rsidR="00000000" w:rsidRPr="00000000">
        <w:rPr>
          <w:rtl w:val="0"/>
        </w:rPr>
        <w:t xml:space="preserve">  Diamides (e.g., Chlorantraniliprole, Cyantraniliprole, Cyclaniliprole, Flubendiamide) deliver rapid feeding cessation and sustained larval/adult suppression.</w:t>
      </w:r>
    </w:p>
    <w:p w:rsidR="00000000" w:rsidDel="00000000" w:rsidP="00000000" w:rsidRDefault="00000000" w:rsidRPr="00000000" w14:paraId="00000040">
      <w:pPr>
        <w:numPr>
          <w:ilvl w:val="0"/>
          <w:numId w:val="7"/>
        </w:numPr>
        <w:ind w:left="720" w:hanging="360"/>
        <w:rPr>
          <w:u w:val="none"/>
        </w:rPr>
      </w:pPr>
      <w:r w:rsidDel="00000000" w:rsidR="00000000" w:rsidRPr="00000000">
        <w:rPr>
          <w:b w:val="1"/>
          <w:bCs w:val="1"/>
          <w:rtl w:val="0"/>
        </w:rPr>
        <w:t xml:space="preserve">Specialized Adult Feeding Blockers (Groups 9B &amp; 29):</w:t>
      </w:r>
      <w:r w:rsidDel="00000000" w:rsidR="00000000" w:rsidRPr="00000000">
        <w:rPr>
          <w:rtl w:val="0"/>
        </w:rPr>
        <w:t xml:space="preserve">  For hemipteran adult pressure during heading, deploy Pymetrozine (MoA Group 9B - pyridine azomethine feeding blockers) or Flonicamid (MoA Group 29 - pyridinecarboxamide feeding blockers) to rapidly halt feeding and prevent egg-laying.</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Voltage-Dependent Sodium Channel Blockers (Group 22):</w:t>
      </w:r>
      <w:r w:rsidDel="00000000" w:rsidR="00000000" w:rsidRPr="00000000">
        <w:rPr>
          <w:rtl w:val="0"/>
        </w:rPr>
        <w:t xml:space="preserve">  Indoxacarb (22A) or Metaflumizone (22B) provide rapid nervous system shutdown for severe late-stage lepidopteran complexes.</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Spinosyns (Group 5):</w:t>
      </w:r>
      <w:r w:rsidDel="00000000" w:rsidR="00000000" w:rsidRPr="00000000">
        <w:rPr>
          <w:rtl w:val="0"/>
        </w:rPr>
        <w:t xml:space="preserve">  Compounds like Spinosad or Spinetoram provide robust target-site rotation during final crop reproductive stages.</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[Nursery / Pre-Sowing Window] ──&gt; [Vegetative Window (~15-30 Days)] ──&gt; [Heading / Reproductive Window (~30 Days)]</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Seed Treatment / Drench           Foliar Growth Regulators              Fast-Acting / Feeding Blockers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(e.g., MoA Group 4A)              (e.g., MoA Group 15, 16, or 18)        (e.g., MoA Group 28, 9B, 29, or 22A)</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pStyle w:val="Heading6"/>
        <w:rPr/>
      </w:pPr>
      <w:bookmarkStart w:colFirst="0" w:colLast="0" w:name="_5v3iih094nk" w:id="15"/>
      <w:bookmarkEnd w:id="15"/>
      <w:r w:rsidDel="00000000" w:rsidR="00000000" w:rsidRPr="00000000">
        <w:rPr>
          <w:rtl w:val="0"/>
        </w:rPr>
        <w:t xml:space="preserve">3.4 Multi-Pest Complex &amp; Shortest Generation Synchronization</w:t>
      </w:r>
    </w:p>
    <w:p w:rsidR="00000000" w:rsidDel="00000000" w:rsidP="00000000" w:rsidRDefault="00000000" w:rsidRPr="00000000" w14:paraId="00000048">
      <w:pPr>
        <w:rPr/>
      </w:pPr>
      <w:r w:rsidDel="00000000" w:rsidR="00000000" w:rsidRPr="00000000">
        <w:rPr>
          <w:rtl w:val="0"/>
        </w:rPr>
        <w:t xml:space="preserve">In agroecosystems where multi-pest complexes co-occur (e.g., simultaneous infestations of Lepidoptera, Coleoptera, and sucking insects like aphids or planthoppers), IRM window lengths and dosing strategies must be dynamically synchronized:</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Shortest Generation Synchronization:</w:t>
      </w:r>
      <w:r w:rsidDel="00000000" w:rsidR="00000000" w:rsidRPr="00000000">
        <w:rPr>
          <w:rtl w:val="0"/>
        </w:rPr>
        <w:t xml:space="preserve">  The duration of the active Treatment Window must always be governed by the pest species with the shortest biological generation time (e.g., establishing a 15-day window boundary if aphids or mites co-occur with lepidopteran pests).</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Dose Selection for Tolerant Targets:</w:t>
      </w:r>
      <w:r w:rsidDel="00000000" w:rsidR="00000000" w:rsidRPr="00000000">
        <w:rPr>
          <w:rtl w:val="0"/>
        </w:rPr>
        <w:t xml:space="preserve">  Active ingredient rates must be selected using full label rates capable of controlling the most tolerant target species present in the multi-pest complex, preventing under-dosing against any single co-occurring pest.</w:t>
      </w:r>
    </w:p>
    <w:p w:rsidR="00000000" w:rsidDel="00000000" w:rsidP="00000000" w:rsidRDefault="00000000" w:rsidRPr="00000000" w14:paraId="0000004B">
      <w:pPr>
        <w:pStyle w:val="Heading6"/>
        <w:rPr/>
      </w:pPr>
      <w:bookmarkStart w:colFirst="0" w:colLast="0" w:name="_pxwomltmrd4h" w:id="16"/>
      <w:bookmarkEnd w:id="16"/>
      <w:r w:rsidDel="00000000" w:rsidR="00000000" w:rsidRPr="00000000">
        <w:rPr>
          <w:rtl w:val="0"/>
        </w:rPr>
        <w:t xml:space="preserve">3.5 Section Summary &amp; Transition</w:t>
      </w:r>
    </w:p>
    <w:p w:rsidR="00000000" w:rsidDel="00000000" w:rsidP="00000000" w:rsidRDefault="00000000" w:rsidRPr="00000000" w14:paraId="0000004C">
      <w:pPr>
        <w:rPr/>
      </w:pPr>
      <w:r w:rsidDel="00000000" w:rsidR="00000000" w:rsidRPr="00000000">
        <w:rPr>
          <w:rtl w:val="0"/>
        </w:rPr>
        <w:t xml:space="preserve">Translating these agronomic stage-targeting guidelines into automated, field-ready decision logic requires an explicit digital technical specification for software integration.</w:t>
      </w:r>
    </w:p>
    <w:p w:rsidR="00000000" w:rsidDel="00000000" w:rsidP="00000000" w:rsidRDefault="00000000" w:rsidRPr="00000000" w14:paraId="0000004D">
      <w:pPr>
        <w:pStyle w:val="Heading5"/>
        <w:rPr/>
      </w:pPr>
      <w:bookmarkStart w:colFirst="0" w:colLast="0" w:name="_3uo6wg969njj" w:id="17"/>
      <w:bookmarkEnd w:id="17"/>
      <w:r w:rsidDel="00000000" w:rsidR="00000000" w:rsidRPr="00000000">
        <w:rPr>
          <w:rtl w:val="0"/>
        </w:rPr>
        <w:t xml:space="preserve">4. Mobile App Digital Integration Blueprint &amp; Technical Specification</w:t>
      </w:r>
    </w:p>
    <w:p w:rsidR="00000000" w:rsidDel="00000000" w:rsidP="00000000" w:rsidRDefault="00000000" w:rsidRPr="00000000" w14:paraId="0000004E">
      <w:pPr>
        <w:pStyle w:val="Heading6"/>
        <w:rPr/>
      </w:pPr>
      <w:bookmarkStart w:colFirst="0" w:colLast="0" w:name="_e3r34494z4dj" w:id="18"/>
      <w:bookmarkEnd w:id="18"/>
      <w:r w:rsidDel="00000000" w:rsidR="00000000" w:rsidRPr="00000000">
        <w:rPr>
          <w:rtl w:val="0"/>
        </w:rPr>
        <w:t xml:space="preserve">4.1 Data Schema &amp; Entity Requirements</w:t>
      </w:r>
    </w:p>
    <w:p w:rsidR="00000000" w:rsidDel="00000000" w:rsidP="00000000" w:rsidRDefault="00000000" w:rsidRPr="00000000" w14:paraId="0000004F">
      <w:pPr>
        <w:rPr/>
      </w:pPr>
      <w:r w:rsidDel="00000000" w:rsidR="00000000" w:rsidRPr="00000000">
        <w:rPr>
          <w:rtl w:val="0"/>
        </w:rPr>
        <w:t xml:space="preserve">To power an automated compliance and recommendation engine for field agronomists, mobile app architectures must implement a relational database schema. The table below defines the required data entities, types, constraints, and enterprise relational links:</w:t>
      </w:r>
    </w:p>
    <w:p w:rsidR="00000000" w:rsidDel="00000000" w:rsidP="00000000" w:rsidRDefault="00000000" w:rsidRPr="00000000" w14:paraId="00000050">
      <w:pPr>
        <w:rPr/>
      </w:pPr>
      <w:r w:rsidDel="00000000" w:rsidR="00000000" w:rsidRPr="00000000">
        <w:rPr>
          <w:rtl w:val="0"/>
        </w:rPr>
        <w:t xml:space="preserve">Field Name,Data Type,Validation Rules / Constraints,Operational &amp; Relational Description</w:t>
      </w:r>
    </w:p>
    <w:p w:rsidR="00000000" w:rsidDel="00000000" w:rsidP="00000000" w:rsidRDefault="00000000" w:rsidRPr="00000000" w14:paraId="00000051">
      <w:pPr>
        <w:rPr/>
      </w:pPr>
      <w:r w:rsidDel="00000000" w:rsidR="00000000" w:rsidRPr="00000000">
        <w:rPr>
          <w:rtl w:val="0"/>
        </w:rPr>
        <w:t xml:space="preserve">crop_phase,Enum,"Allowed values: Nursery, Vegetative, Reproductive, Heading, Harvest",Defines current physical crop growth stage at application time.</w:t>
      </w:r>
    </w:p>
    <w:p w:rsidR="00000000" w:rsidDel="00000000" w:rsidP="00000000" w:rsidRDefault="00000000" w:rsidRPr="00000000" w14:paraId="00000052">
      <w:pPr>
        <w:rPr/>
      </w:pPr>
      <w:r w:rsidDel="00000000" w:rsidR="00000000" w:rsidRPr="00000000">
        <w:rPr>
          <w:rtl w:val="0"/>
        </w:rPr>
        <w:t xml:space="preserve">pest_species,String / Taxon ID,Foreign Key to Pest_Taxonomy table; mandatory,Identifies primary target pest species; determines generation window length.</w:t>
      </w:r>
    </w:p>
    <w:p w:rsidR="00000000" w:rsidDel="00000000" w:rsidP="00000000" w:rsidRDefault="00000000" w:rsidRPr="00000000" w14:paraId="00000053">
      <w:pPr>
        <w:rPr/>
      </w:pPr>
      <w:r w:rsidDel="00000000" w:rsidR="00000000" w:rsidRPr="00000000">
        <w:rPr>
          <w:rtl w:val="0"/>
        </w:rPr>
        <w:t xml:space="preserve">pest_life_stage,Enum,"Allowed values: Egg, Nymph/Larva, Adult, Overlapping",Target life stage present in field scouting reports.</w:t>
      </w:r>
    </w:p>
    <w:p w:rsidR="00000000" w:rsidDel="00000000" w:rsidP="00000000" w:rsidRDefault="00000000" w:rsidRPr="00000000" w14:paraId="00000054">
      <w:pPr>
        <w:rPr/>
      </w:pPr>
      <w:r w:rsidDel="00000000" w:rsidR="00000000" w:rsidRPr="00000000">
        <w:rPr>
          <w:rtl w:val="0"/>
        </w:rPr>
        <w:t xml:space="preserve">active_ingredient,String,Foreign Key to Chemical_Registry table,Identifies chemical active ingredient(s) in product formulation.</w:t>
      </w:r>
    </w:p>
    <w:p w:rsidR="00000000" w:rsidDel="00000000" w:rsidP="00000000" w:rsidRDefault="00000000" w:rsidRPr="00000000" w14:paraId="00000055">
      <w:pPr>
        <w:rPr/>
      </w:pPr>
      <w:r w:rsidDel="00000000" w:rsidR="00000000" w:rsidRPr="00000000">
        <w:rPr>
          <w:rtl w:val="0"/>
        </w:rPr>
        <w:t xml:space="preserve">irac_moa_number,Integer,Mandatory positive integer matching IRAC main class,"Main numeric IRAC target site classification ID (e.g., 1, 4, 16, 28)."</w:t>
      </w:r>
    </w:p>
    <w:p w:rsidR="00000000" w:rsidDel="00000000" w:rsidP="00000000" w:rsidRDefault="00000000" w:rsidRPr="00000000" w14:paraId="00000056">
      <w:pPr>
        <w:rPr/>
      </w:pPr>
      <w:r w:rsidDel="00000000" w:rsidR="00000000" w:rsidRPr="00000000">
        <w:rPr>
          <w:rtl w:val="0"/>
        </w:rPr>
        <w:t xml:space="preserve">moa_subgroup,String,"Capital letter code (e.g., 'A', 'C') or null",Sub-group chemical class designation within main MoA group.</w:t>
      </w:r>
    </w:p>
    <w:p w:rsidR="00000000" w:rsidDel="00000000" w:rsidP="00000000" w:rsidRDefault="00000000" w:rsidRPr="00000000" w14:paraId="00000057">
      <w:pPr>
        <w:rPr/>
      </w:pPr>
      <w:r w:rsidDel="00000000" w:rsidR="00000000" w:rsidRPr="00000000">
        <w:rPr>
          <w:rtl w:val="0"/>
        </w:rPr>
        <w:t xml:space="preserve">application_date,ISO Date,YYYY-MM-DD format; cannot be post-dated,Time-stamp logged when spray application is performed.</w:t>
      </w:r>
    </w:p>
    <w:p w:rsidR="00000000" w:rsidDel="00000000" w:rsidP="00000000" w:rsidRDefault="00000000" w:rsidRPr="00000000" w14:paraId="00000058">
      <w:pPr>
        <w:rPr/>
      </w:pPr>
      <w:r w:rsidDel="00000000" w:rsidR="00000000" w:rsidRPr="00000000">
        <w:rPr>
          <w:rtl w:val="0"/>
        </w:rPr>
        <w:t xml:space="preserve">window_id,UUID,Foreign Key to Field_Block_Season table; mandatory,Unique relational identifier binding application to field block and temporal window boundary.</w:t>
      </w:r>
    </w:p>
    <w:p w:rsidR="00000000" w:rsidDel="00000000" w:rsidP="00000000" w:rsidRDefault="00000000" w:rsidRPr="00000000" w14:paraId="00000059">
      <w:pPr>
        <w:pStyle w:val="Heading6"/>
        <w:rPr/>
      </w:pPr>
      <w:bookmarkStart w:colFirst="0" w:colLast="0" w:name="_j8oj6fbzek0w" w:id="19"/>
      <w:bookmarkEnd w:id="19"/>
      <w:r w:rsidDel="00000000" w:rsidR="00000000" w:rsidRPr="00000000">
        <w:rPr>
          <w:rtl w:val="0"/>
        </w:rPr>
        <w:t xml:space="preserve">4.2 Decision Engine Logic &amp; Compliance Algorithm</w:t>
      </w:r>
    </w:p>
    <w:p w:rsidR="00000000" w:rsidDel="00000000" w:rsidP="00000000" w:rsidRDefault="00000000" w:rsidRPr="00000000" w14:paraId="0000005A">
      <w:pPr>
        <w:rPr/>
      </w:pPr>
      <w:r w:rsidDel="00000000" w:rsidR="00000000" w:rsidRPr="00000000">
        <w:rPr>
          <w:rtl w:val="0"/>
        </w:rPr>
        <w:t xml:space="preserve">The backend application logic validates all field recommendations and application logs using programmatic compliance algorithms:</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[Proposed Chemical Selection]</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[Logic 1: Window Check]                            [Logic 3: Exposure Caps]</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Is MoA applied within prior                         Cumulative window &gt;50% crop cycle OR</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Window Boundary?                                    MoA sprays &gt;50% total applications?</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(15d sucking / 30d standard)                                │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YES│             NO│</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YES│             NO│                                    ▼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[BLOCK]           [PASS]</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[BLOCK LOG]       [PASS]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[Logic 2: Sub-Group Risk]</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Only subgroup changed (4A -&gt; 4C)?</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Main MoA alternatives available?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YES│             NO│</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[FLAG RISK]     [APPROVE]</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b w:val="1"/>
          <w:bCs w:val="1"/>
          <w:rtl w:val="0"/>
        </w:rPr>
        <w:t xml:space="preserve">Dynamic Window Calculation &amp; Sequential Check (Validation Logic 1):</w:t>
      </w:r>
      <w:r w:rsidDel="00000000" w:rsidR="00000000" w:rsidRPr="00000000">
        <w:rPr>
          <w:rtl w:val="0"/>
        </w:rPr>
        <w:t xml:space="preserve">  Upon target selection, the system queries pest_species taxonomy. If the pest is categorized as a fast-reproducing sucking pest (e.g., aphid, mite), window_id boundary duration is set to 15 days; otherwise, it defaults to 30 days. The engine queries all application logs associated with Field_Block_Season for the active and preceding windows. If the proposed product shares an irac_moa_number with any application logged in the preceding window, the selection is blocked.</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Sub-Group Risk Flag (Validation Logic 2):</w:t>
      </w:r>
      <w:r w:rsidDel="00000000" w:rsidR="00000000" w:rsidRPr="00000000">
        <w:rPr>
          <w:rtl w:val="0"/>
        </w:rPr>
        <w:t xml:space="preserve">  If a proposed selection changes only the moa_subgroup (e.g., rotating from 4A Neonicotinoids to 4C Sulfoximines) while unexposed main numbered MoA classes (e.g., Group 28 or Group 22A) exist in the local product registry, the system triggers a High Risk / Sub-Group Non-Compliance warning flag.</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Cumulative Seasonal Exposure Cap (Validation Logic 3):</w:t>
      </w:r>
      <w:r w:rsidDel="00000000" w:rsidR="00000000" w:rsidRPr="00000000">
        <w:rPr>
          <w:rtl w:val="0"/>
        </w:rPr>
        <w:t xml:space="preserve">  The engine tracks historical applications within the active Field_Block_Season. If the selection causes cumulative window duration for that irac_moa_number to exceed 50% of total crop cycle length, or if total applications for that MoA exceed 50% of total seasonal sprays against the target pest, the system blocks the log.</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Recommendation Filtering:</w:t>
      </w:r>
      <w:r w:rsidDel="00000000" w:rsidR="00000000" w:rsidRPr="00000000">
        <w:rPr>
          <w:rtl w:val="0"/>
        </w:rPr>
        <w:t xml:space="preserve">  The engine filters product registries based on pest_life_stage. Early nymphal/larval alerts filter for growth regulators (Groups 15, 16, 18), whereas adult alerts filter for fast-acting feeding blockers and nerve/muscle agents (Groups 9B, 28, 29, 22A).</w:t>
      </w:r>
    </w:p>
    <w:p w:rsidR="00000000" w:rsidDel="00000000" w:rsidP="00000000" w:rsidRDefault="00000000" w:rsidRPr="00000000" w14:paraId="00000074">
      <w:pPr>
        <w:pStyle w:val="Heading6"/>
        <w:rPr/>
      </w:pPr>
      <w:bookmarkStart w:colFirst="0" w:colLast="0" w:name="_tggo2h2rx2s9" w:id="20"/>
      <w:bookmarkEnd w:id="20"/>
      <w:r w:rsidDel="00000000" w:rsidR="00000000" w:rsidRPr="00000000">
        <w:rPr>
          <w:rtl w:val="0"/>
        </w:rPr>
        <w:t xml:space="preserve">4.3 User Experience (UX), Visual Badging, Offline Sync, and Field Workflows</w:t>
      </w:r>
    </w:p>
    <w:p w:rsidR="00000000" w:rsidDel="00000000" w:rsidP="00000000" w:rsidRDefault="00000000" w:rsidRPr="00000000" w14:paraId="00000075">
      <w:pPr>
        <w:numPr>
          <w:ilvl w:val="0"/>
          <w:numId w:val="2"/>
        </w:numPr>
        <w:ind w:left="720" w:hanging="360"/>
        <w:rPr>
          <w:u w:val="none"/>
        </w:rPr>
      </w:pPr>
      <w:r w:rsidDel="00000000" w:rsidR="00000000" w:rsidRPr="00000000">
        <w:rPr>
          <w:b w:val="1"/>
          <w:bCs w:val="1"/>
          <w:rtl w:val="0"/>
        </w:rPr>
        <w:t xml:space="preserve">Visual Badging Standards:</w:t>
      </w:r>
      <w:r w:rsidDel="00000000" w:rsidR="00000000" w:rsidRPr="00000000">
        <w:rPr>
          <w:rtl w:val="0"/>
        </w:rPr>
        <w:t xml:space="preserve">  Recommendation cards and product lookup screens must display standardized visual badges. Sub-group letters must be capitalized and rendered in equal font size to the main MoA number (e.g., GROUP 16 INSECTICIDE, GROUP 28 INSECTICIDE, GROUP 4A INSECTICIDE).</w:t>
      </w:r>
    </w:p>
    <w:p w:rsidR="00000000" w:rsidDel="00000000" w:rsidP="00000000" w:rsidRDefault="00000000" w:rsidRPr="00000000" w14:paraId="00000076">
      <w:pPr>
        <w:numPr>
          <w:ilvl w:val="0"/>
          <w:numId w:val="2"/>
        </w:numPr>
        <w:ind w:left="720" w:hanging="360"/>
        <w:rPr>
          <w:u w:val="none"/>
        </w:rPr>
      </w:pPr>
      <w:r w:rsidDel="00000000" w:rsidR="00000000" w:rsidRPr="00000000">
        <w:rPr>
          <w:b w:val="1"/>
          <w:bCs w:val="1"/>
          <w:rtl w:val="0"/>
        </w:rPr>
        <w:t xml:space="preserve">QR Code Scanning:</w:t>
      </w:r>
      <w:r w:rsidDel="00000000" w:rsidR="00000000" w:rsidRPr="00000000">
        <w:rPr>
          <w:rtl w:val="0"/>
        </w:rPr>
        <w:t xml:space="preserve">  The mobile application integrates camera-based QR code scanning to capture product labels in the field, automatically populating active ingredient, IRAC group number, sub-group code, and batch details into the local draft log.</w:t>
      </w:r>
    </w:p>
    <w:p w:rsidR="00000000" w:rsidDel="00000000" w:rsidP="00000000" w:rsidRDefault="00000000" w:rsidRPr="00000000" w14:paraId="00000077">
      <w:pPr>
        <w:numPr>
          <w:ilvl w:val="0"/>
          <w:numId w:val="2"/>
        </w:numPr>
        <w:ind w:left="720" w:hanging="360"/>
        <w:rPr>
          <w:u w:val="none"/>
        </w:rPr>
      </w:pPr>
      <w:r w:rsidDel="00000000" w:rsidR="00000000" w:rsidRPr="00000000">
        <w:rPr>
          <w:b w:val="1"/>
          <w:bCs w:val="1"/>
          <w:rtl w:val="0"/>
        </w:rPr>
        <w:t xml:space="preserve">Offline Synchronization Architecture:</w:t>
      </w:r>
      <w:r w:rsidDel="00000000" w:rsidR="00000000" w:rsidRPr="00000000">
        <w:rPr>
          <w:rtl w:val="0"/>
        </w:rPr>
        <w:t xml:space="preserve">  To accommodate remote field environments lacking cellular connectivity, the app executes all validation algorithms locally against an SQLite local database. Application logs and QR code scans recorded offline are queued in an encrypted local transaction queue and automatically synchronized with the central cloud database upon connection re-establishment.</w:t>
      </w:r>
    </w:p>
    <w:p w:rsidR="00000000" w:rsidDel="00000000" w:rsidP="00000000" w:rsidRDefault="00000000" w:rsidRPr="00000000" w14:paraId="00000078">
      <w:pPr>
        <w:numPr>
          <w:ilvl w:val="0"/>
          <w:numId w:val="2"/>
        </w:numPr>
        <w:ind w:left="720" w:hanging="360"/>
        <w:rPr>
          <w:u w:val="none"/>
        </w:rPr>
      </w:pPr>
      <w:r w:rsidDel="00000000" w:rsidR="00000000" w:rsidRPr="00000000">
        <w:rPr>
          <w:b w:val="1"/>
          <w:bCs w:val="1"/>
          <w:rtl w:val="0"/>
        </w:rPr>
        <w:t xml:space="preserve">Warning Modal Workflows:</w:t>
      </w:r>
      <w:r w:rsidDel="00000000" w:rsidR="00000000" w:rsidRPr="00000000">
        <w:rPr>
          <w:rtl w:val="0"/>
        </w:rPr>
        <w:t xml:space="preserve">  Attempting to log an invalid chemistry triggers an un-dismissible warning modal displaying exact failure mechanics (e.g.,  </w:t>
      </w:r>
      <w:r w:rsidDel="00000000" w:rsidR="00000000" w:rsidRPr="00000000">
        <w:rPr>
          <w:i w:val="1"/>
          <w:iCs w:val="1"/>
          <w:rtl w:val="0"/>
        </w:rPr>
        <w:t xml:space="preserve">"Non-Compliant: MoA Group 28 was applied 10 days ago within Window 1. Sequential multi-generational exposure is prohibited."</w:t>
      </w:r>
      <w:r w:rsidDel="00000000" w:rsidR="00000000" w:rsidRPr="00000000">
        <w:rPr>
          <w:rtl w:val="0"/>
        </w:rPr>
        <w:t xml:space="preserve"> ). Overriding a block requires completing a mandatory agronomic justification entry log.</w:t>
      </w:r>
    </w:p>
    <w:p w:rsidR="00000000" w:rsidDel="00000000" w:rsidP="00000000" w:rsidRDefault="00000000" w:rsidRPr="00000000" w14:paraId="00000079">
      <w:pPr>
        <w:pStyle w:val="Heading6"/>
        <w:rPr/>
      </w:pPr>
      <w:bookmarkStart w:colFirst="0" w:colLast="0" w:name="_s3xlw2wsdij2" w:id="21"/>
      <w:bookmarkEnd w:id="21"/>
      <w:r w:rsidDel="00000000" w:rsidR="00000000" w:rsidRPr="00000000">
        <w:rPr>
          <w:rtl w:val="0"/>
        </w:rPr>
        <w:t xml:space="preserve">4.4 Section Summary &amp; Implementation Sign-Off</w:t>
      </w:r>
    </w:p>
    <w:p w:rsidR="00000000" w:rsidDel="00000000" w:rsidP="00000000" w:rsidRDefault="00000000" w:rsidRPr="00000000" w14:paraId="0000007A">
      <w:pPr>
        <w:rPr/>
      </w:pPr>
      <w:r w:rsidDel="00000000" w:rsidR="00000000" w:rsidRPr="00000000">
        <w:rPr>
          <w:rtl w:val="0"/>
        </w:rPr>
        <w:t xml:space="preserve">Enforcing strict IRAC rotation logic through automated digital mobile architectures guarantees field-level compliance with scientific resistance guidelines, safeguarding crop yields while preserving the global efficacy of vital crop protection technologies.</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