
<file path=[Content_Types].xml><?xml version="1.0" encoding="utf-8"?>
<Types xmlns="http://schemas.openxmlformats.org/package/2006/content-types">
  <Default Extension="xml" ContentType="application/vnd.openxmlformats-officedocument.wordprocessingml.document.main+xml"/>
  <Default Extension="jpg" ContentType="image/jpeg"/>
  <Default Extension="png" ContentType="image/png"/>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Types>
</file>

<file path=_rels/.rels>&#65279;<?xml version="1.0" encoding="utf-8"?><Relationships xmlns="http://schemas.openxmlformats.org/package/2006/relationships"><Relationship Type="http://schemas.openxmlformats.org/officeDocument/2006/relationships/officeDocument" Target="/word/document.xml" Id="Rfef0236b64ad45d1"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pPr>
        <w:spacing w:before="400" w:after="200"/>
        <w:jc w:val="center"/>
      </w:pPr>
      <w:r>
        <w:drawing>
          <wp:inline distT="0" distB="0" distL="0" distR="0">
            <wp:extent cx="1200000" cy="1538461"/>
            <wp:effectExtent l="0" t="0" r="0" b="0"/>
            <wp:docPr id="1" name="CIRDAP Logo"/>
            <wp:cNvGraphicFramePr>
              <a:graphicFrameLocks noChangeAspect="1"/>
            </wp:cNvGraphicFramePr>
            <a:graphic>
              <a:graphicData uri="http://schemas.openxmlformats.org/drawingml/2006/picture">
                <pic:pic>
                  <pic:nvPicPr>
                    <pic:cNvPr id="0" name="CIRDAP Logo.png"/>
                    <pic:cNvPicPr/>
                  </pic:nvPicPr>
                  <pic:blipFill>
                    <a:blip r:embed="Rf1d5b77521214f83"/>
                    <a:stretch>
                      <a:fillRect/>
                    </a:stretch>
                  </pic:blipFill>
                  <pic:spPr>
                    <a:xfrm>
                      <a:off x="0" y="0"/>
                      <a:ext cx="1200000" cy="1538461"/>
                    </a:xfrm>
                    <a:prstGeom prst="rect"/>
                  </pic:spPr>
                </pic:pic>
              </a:graphicData>
            </a:graphic>
          </wp:inline>
        </w:drawing>
      </w:r>
    </w:p>
    <w:p>
      <w:pPr>
        <w:spacing w:after="600"/>
        <w:jc w:val="center"/>
      </w:pPr>
      <w:r>
        <w:rPr>
          <w:color w:val="666666"/>
          <w:spacing w:val="30"/>
          <w:sz w:val="20"/>
        </w:rPr>
        <w:t>CENTRE ON INTEGRATED RURAL DEVELOPMENT FOR ASIA AND THE PACIFIC</w:t>
      </w:r>
    </w:p>
    <w:p>
      <w:pPr>
        <w:spacing w:after="120"/>
        <w:jc w:val="center"/>
      </w:pPr>
      <w:r>
        <w:rPr>
          <w:b/>
          <w:color w:val="2E7D32"/>
          <w:sz w:val="48"/>
        </w:rPr>
        <w:t>PROJECT PROPOSAL</w:t>
      </w:r>
    </w:p>
    <w:p>
      <w:pPr>
        <w:spacing w:after="200"/>
        <w:jc w:val="center"/>
      </w:pPr>
      <w:r>
        <w:rPr>
          <w:b/>
          <w:color w:val="1B5E20"/>
          <w:sz w:val="36"/>
        </w:rPr>
        <w:t>GreenLoop 3.0</w:t>
      </w:r>
    </w:p>
    <w:p>
      <w:pPr>
        <w:spacing w:after="600"/>
        <w:jc w:val="center"/>
      </w:pPr>
      <w:r>
        <w:rPr>
          <w:i/>
          <w:color w:val="558B2F"/>
          <w:sz w:val="24"/>
        </w:rPr>
        <w:t>Blockchain-Enabled Circular Agriculture for Rural Empowerment</w:t>
      </w:r>
    </w:p>
    <w:p>
      <w:pPr>
        <w:spacing w:after="400"/>
        <w:jc w:val="center"/>
      </w:pPr>
      <w:r>
        <w:rPr>
          <w:color w:val="666666"/>
          <w:sz w:val="20"/>
        </w:rPr>
        <w:t>Theme: One Innovation. Endless Change. Countless Smiles.</w:t>
      </w:r>
    </w:p>
    <w:p>
      <w:pPr>
        <w:spacing w:after="800"/>
        <w:jc w:val="center"/>
      </w:pPr>
      <w:r>
        <w:rPr>
          <w:color w:val="999999"/>
          <w:sz w:val="18"/>
        </w:rPr>
        <w:t>Alignment: Vision 2030 | SDGs 1, 2, 6, 13 | Smart Bangladesh 2041</w:t>
      </w:r>
    </w:p>
    <w:p>
      <w:pPr>
        <w:spacing w:before="400" w:after="200"/>
        <w:jc w:val="center"/>
      </w:pPr>
      <w:r>
        <w:rPr>
          <w:b/>
          <w:color w:val="333333"/>
          <w:sz w:val="22"/>
        </w:rPr>
        <w:t>Submitted by:</w:t>
      </w:r>
    </w:p>
    <w:p>
      <w:pPr>
        <w:spacing w:after="200"/>
        <w:jc w:val="center"/>
      </w:pPr>
      <w:r>
        <w:drawing>
          <wp:inline distT="0" distB="0" distL="0" distR="0">
            <wp:extent cx="1200000" cy="1200000"/>
            <wp:effectExtent l="0" t="0" r="0" b="0"/>
            <wp:docPr id="2" name="Proposer Photo"/>
            <wp:cNvGraphicFramePr>
              <a:graphicFrameLocks noChangeAspect="1"/>
            </wp:cNvGraphicFramePr>
            <a:graphic>
              <a:graphicData uri="http://schemas.openxmlformats.org/drawingml/2006/picture">
                <pic:pic>
                  <pic:nvPicPr>
                    <pic:cNvPr id="0" name="Proposer Photo.png"/>
                    <pic:cNvPicPr/>
                  </pic:nvPicPr>
                  <pic:blipFill>
                    <a:blip r:embed="Rab395aea5e8b4361"/>
                    <a:stretch>
                      <a:fillRect/>
                    </a:stretch>
                  </pic:blipFill>
                  <pic:spPr>
                    <a:xfrm>
                      <a:off x="0" y="0"/>
                      <a:ext cx="1200000" cy="1200000"/>
                    </a:xfrm>
                    <a:prstGeom prst="rect"/>
                  </pic:spPr>
                </pic:pic>
              </a:graphicData>
            </a:graphic>
          </wp:inline>
        </w:drawing>
      </w:r>
    </w:p>
    <w:p>
      <w:pPr>
        <w:spacing w:after="60"/>
        <w:jc w:val="center"/>
      </w:pPr>
      <w:r>
        <w:rPr>
          <w:b/>
          <w:color w:val="1B5E20"/>
          <w:sz w:val="26"/>
        </w:rPr>
        <w:t>Abu Md Moniruzjaman</w:t>
      </w:r>
    </w:p>
    <w:p>
      <w:pPr>
        <w:spacing w:after="60"/>
        <w:jc w:val="center"/>
      </w:pPr>
      <w:r>
        <w:rPr>
          <w:color w:val="666666"/>
          <w:sz w:val="20"/>
        </w:rPr>
        <w:t>Additional Deputy Director (Horticulture)</w:t>
      </w:r>
    </w:p>
    <w:p>
      <w:pPr>
        <w:spacing w:after="60"/>
        <w:jc w:val="center"/>
      </w:pPr>
      <w:r>
        <w:rPr>
          <w:color w:val="666666"/>
          <w:sz w:val="20"/>
        </w:rPr>
        <w:t>Department of Agricultural Extension (DAE), Kurigram, Bangladesh</w:t>
      </w:r>
    </w:p>
    <w:p>
      <w:pPr>
        <w:spacing w:after="400"/>
        <w:jc w:val="center"/>
      </w:pPr>
      <w:r>
        <w:rPr>
          <w:color w:val="999999"/>
          <w:sz w:val="18"/>
        </w:rPr>
        <w:t>Experience: 10+ Years in Agricultural Extension &amp; Digital Innovation</w:t>
      </w:r>
    </w:p>
    <w:p>
      <w:pPr>
        <w:spacing w:before="600"/>
        <w:jc w:val="center"/>
      </w:pPr>
      <w:r>
        <w:rPr>
          <w:color w:val="666666"/>
          <w:sz w:val="20"/>
        </w:rPr>
        <w:t>Submission Date: February 28, 2026</w:t>
      </w:r>
    </w:p>
    <w:p>
      <w:pPr>
        <w:sectPr>
          <w:type w:val="nextPage"/>
          <w:pgSz w:w="11906" w:h="16838"/>
          <w:pgMar w:top="720" w:right="1440" w:bottom="720" w:left="1440" w:header="720" w:footer="720"/>
        </w:sectPr>
      </w:pPr>
    </w:p>
    <w:p>
      <w:pPr>
        <w:pStyle w:val="Heading1"/>
      </w:pPr>
      <w:r>
        <w:t>1. Executive Summary</w:t>
      </w:r>
    </w:p>
    <w:p>
      <w:r>
        <w:t>GreenLoop 3.0 is a socio-technical breakthrough designed to transform rural agriculture in the Asia-Pacific region by merging Circular Bio-Economy principles with Blockchain-driven Digital Governance. Addressing the "double burden" of climate vulnerability and systemic economic exclusion, this project integrates three proven innovations into a unified ecosystem: (1) a locally manufactured 12-Parameter Soil Sensor for precision nutrient management; (2) the 3F4D+MD Irrigation System for water conservation and arsenic mitigation; and (3) the Efficiency 3.0 Blockchain Framework for transparent subsidy distribution and market access.</w:t>
      </w:r>
    </w:p>
    <w:p>
      <w:r>
        <w:t>At the physical level, GreenLoop establishes a "closed-loop" farm where waste is recycled into energy and nutrients, reducing operational costs by 40%. At the digital level, it introduces a Hybrid Microservices Architecture (PostgreSQL + Hyperledger Fabric) to eliminate subsidy leakage, prevent "Ghost Beneficiaries," and ensure Farm-to-Fork traceability. Pilot data suggests a 30% increase in farm profitability, 57% reduction in irrigation water, and 9-21% decrease in grain arsenic levels.</w:t>
      </w:r>
    </w:p>
    <w:p>
      <w:r>
        <w:t>Aligned with Vision 2030, GreenLoop 3.0 shifts rural development from charity to high-efficiency innovation. It empowers NEET youth and marginalized women by transforming them from laborers into "Agri-Entrepreneurs." Scalable across CIRDAP's 15 Member Countries, this project offers a replicable model for sustainable, inclusive, and climate-resilient rural transformation.</w:t>
      </w:r>
    </w:p>
    <w:p>
      <w:pPr>
        <w:pStyle w:val="Heading1"/>
      </w:pPr>
      <w:r>
        <w:t>2. Problem Statement: The Double Burden</w:t>
      </w:r>
    </w:p>
    <w:p>
      <w:r>
        <w:t>Rural communities in Bangladesh and the broader Asia-Pacific region face interconnected crises that threaten food security and livelihoods.</w:t>
      </w:r>
    </w:p>
    <w:p>
      <w:pPr>
        <w:pStyle w:val="Heading2"/>
      </w:pPr>
      <w:r>
        <w:t>2.1 Environmental Degradation &amp; Climate Risk</w:t>
      </w:r>
    </w:p>
    <w:p>
      <w:r>
        <w:t>Conventional farming follows a linear "produce-use-discard" model, leading to severe soil degradation. In Bangladesh, nutrient imbalances are widespread due to the over-application of nitrogen and under-application of potassium and micronutrients. Furthermore, arsenic contamination affects 61 out of 64 districts, posing a catastrophic public health risk through rice consumption. Groundwater depletion is critical, with 78% of irrigation water used for Boro rice, threatening long-term production viability.</w:t>
      </w:r>
    </w:p>
    <w:p>
      <w:pPr>
        <w:pStyle w:val="Heading2"/>
      </w:pPr>
      <w:r>
        <w:t>2.2 Governance Gaps &amp; Economic Exclusion</w:t>
      </w:r>
    </w:p>
    <w:p>
      <w:r>
        <w:t>Existing agricultural supply chains suffer from information asymmetry and lack of transparency. Government subsidy distribution is plagued by "Ghost Beneficiaries" and diversion of funds, where genuine farmers are deprived while intermediaries profit. Additionally, 34.02% of Bangladesh's youth are NEET (Not in Education, Employment, or Training), with women disproportionately affected (52.76%). This represents a massive loss of human capital and drives rural-to-urban migration.</w:t>
      </w:r>
    </w:p>
    <w:p>
      <w:pPr>
        <w:pStyle w:val="Heading2"/>
      </w:pPr>
      <w:r>
        <w:t>2.3 The Technology Gap</w:t>
      </w:r>
    </w:p>
    <w:p>
      <w:r>
        <w:t>While solutions exist in isolation, there is no integrated system that combines physical sustainability (water/soil management) with digital governance (financial transparency). Farmers lack access to affordable soil testing tools, forcing them to rely on generalized fertilizer recommendations that reduce profitability and harm soil health.</w:t>
      </w:r>
    </w:p>
    <w:p>
      <w:pPr>
        <w:pStyle w:val="Heading1"/>
      </w:pPr>
      <w:r>
        <w:t>3. Technical Solution: The GreenLoop 3.0 Architecture</w:t>
      </w:r>
    </w:p>
    <w:p>
      <w:r>
        <w:t>GreenLoop 3.0 operates on a dual-layer architecture: Physical Circular Farm and Digital Governance Framework.</w:t>
      </w:r>
    </w:p>
    <w:p>
      <w:pPr>
        <w:pStyle w:val="Heading2"/>
      </w:pPr>
      <w:r>
        <w:t>3.1 Physical Layer: Precision &amp; Circularity</w:t>
      </w:r>
    </w:p>
    <w:p>
      <w:pPr>
        <w:numPr>
          <w:ilvl w:val="0"/>
          <w:numId w:val="2"/>
        </w:numPr>
        <w:spacing w:after="80"/>
      </w:pPr>
      <w:r>
        <w:t>12-Parameter Soil Sensor: A locally manufactured handheld device measuring pH, EC, Moisture, Temperature, NPK, Ca, Mg, S, and estimating micronutrients (Fe, Zn, Mn, B) via Machine Learning. This enables Soil Test Based Application (STBA), proven to increase rice yield by 20-32% and farm profit by 30%.</w:t>
      </w:r>
    </w:p>
    <w:p>
      <w:pPr>
        <w:numPr>
          <w:ilvl w:val="0"/>
          <w:numId w:val="2"/>
        </w:numPr>
        <w:spacing w:after="80"/>
      </w:pPr>
      <w:r>
        <w:t>3F4D+MD Irrigation System: Adapted from Alternate Wetting and Drying (AWD), this "Three-Phase Four-Day + Modified Depth" protocol induces aerobic soil conditions. It immobilizes arsenic via iron oxide re-precipitation, reducing grain arsenic by 9-21% and saving 57% of irrigation water without yield penalty.</w:t>
      </w:r>
    </w:p>
    <w:p>
      <w:pPr>
        <w:numPr>
          <w:ilvl w:val="0"/>
          <w:numId w:val="2"/>
        </w:numPr>
        <w:spacing w:after="80"/>
      </w:pPr>
      <w:r>
        <w:t>Circular Waste Management: Livestock waste is converted into biogas (energy) and slurry (organic fertilizer), replacing synthetic Urea/DAP and reducing input costs by 40%.</w:t>
      </w:r>
    </w:p>
    <w:p>
      <w:pPr>
        <w:pStyle w:val="Heading2"/>
      </w:pPr>
      <w:r>
        <w:t>3.2 Digital Layer: Efficiency 3.0 Blockchain Framework</w:t>
      </w:r>
    </w:p>
    <w:p>
      <w:pPr>
        <w:numPr>
          <w:ilvl w:val="0"/>
          <w:numId w:val="2"/>
        </w:numPr>
        <w:spacing w:after="80"/>
      </w:pPr>
      <w:r>
        <w:t>Hybrid Architecture: Combines high-throughput PostgreSQL (Off-Chain) for user data with Hyperledger Fabric (On-Chain) for immutable audit trails. This ensures speed while maintaining data integrity.</w:t>
      </w:r>
    </w:p>
    <w:p>
      <w:pPr>
        <w:numPr>
          <w:ilvl w:val="0"/>
          <w:numId w:val="2"/>
        </w:numPr>
        <w:spacing w:after="80"/>
      </w:pPr>
      <w:r>
        <w:t>Smart Farmer Card &amp; E-Bill: A digital identity linked to soil health and credit rating. Subsidies are distributed via blockchain-linked "e-Bills," eliminating paper vouchers and ensuring 100% transparency.</w:t>
      </w:r>
    </w:p>
    <w:p>
      <w:pPr>
        <w:numPr>
          <w:ilvl w:val="0"/>
          <w:numId w:val="2"/>
        </w:numPr>
        <w:spacing w:after="80"/>
      </w:pPr>
      <w:r>
        <w:t>Smart Contracts: Automated enforcement of subsidy rules (e.g., soil health-based limits). If a farmer exceeds their nutrient limit, the contract blocks the transaction, preventing over-use.</w:t>
      </w:r>
    </w:p>
    <w:p>
      <w:pPr>
        <w:numPr>
          <w:ilvl w:val="0"/>
          <w:numId w:val="2"/>
        </w:numPr>
        <w:spacing w:after="80"/>
      </w:pPr>
      <w:r>
        <w:t>SHA-256 Hash-Linking: Every transaction is hashed and anchored on the blockchain. Any manipulation of off-chain data will mismatch the on-chain hash, instantly detecting fraud.</w:t>
      </w:r>
    </w:p>
    <w:p>
      <w:pPr>
        <w:numPr>
          <w:ilvl w:val="0"/>
          <w:numId w:val="2"/>
        </w:numPr>
        <w:spacing w:after="80"/>
      </w:pPr>
      <w:r>
        <w:t>Farm-to-Fork Traceability: QR codes on produce allow consumers to verify origin, fertilizer use, and harvest date, enabling price premiums for safe, organic crops.</w:t>
      </w:r>
    </w:p>
    <w:p>
      <w:pPr>
        <w:pStyle w:val="Heading1"/>
      </w:pPr>
      <w:r>
        <w:t>4. Implementation Plan &amp; Scalability</w:t>
      </w:r>
    </w:p>
    <w:p>
      <w:pPr>
        <w:pStyle w:val="Heading2"/>
      </w:pPr>
      <w:r>
        <w:t>4.1 Phased Roadmap (2026-2030)</w:t>
      </w:r>
    </w:p>
    <w:p>
      <w:pPr>
        <w:numPr>
          <w:ilvl w:val="0"/>
          <w:numId w:val="2"/>
        </w:numPr>
        <w:spacing w:after="80"/>
      </w:pPr>
      <w:r>
        <w:t>Phase 1 (Pilot - 2026): Deployment in Kurigram &amp; Yashohar (Arsenic-prone zones). Target: 500 farmers. Focus: MVP validation of sensor and blockchain module.</w:t>
      </w:r>
    </w:p>
    <w:p>
      <w:pPr>
        <w:numPr>
          <w:ilvl w:val="0"/>
          <w:numId w:val="2"/>
        </w:numPr>
        <w:spacing w:after="80"/>
      </w:pPr>
      <w:r>
        <w:t>Phase 2 (National Scale - 2027-28): Rollout across Bangladesh's 30 Agro-Ecological Zones (AEZs). Integration with DAE's Fertilizer Recommendation Guide (FRG).</w:t>
      </w:r>
    </w:p>
    <w:p>
      <w:pPr>
        <w:numPr>
          <w:ilvl w:val="0"/>
          <w:numId w:val="2"/>
        </w:numPr>
        <w:spacing w:after="80"/>
      </w:pPr>
      <w:r>
        <w:t>Phase 3 (Regional Expansion - 2029): Knowledge transfer to CIRDAP Member Countries (India, Nepal, Pakistan). Adaptation for local crops and soils.</w:t>
      </w:r>
    </w:p>
    <w:p>
      <w:pPr>
        <w:numPr>
          <w:ilvl w:val="0"/>
          <w:numId w:val="2"/>
        </w:numPr>
        <w:spacing w:after="80"/>
      </w:pPr>
      <w:r>
        <w:t>Phase 4 (Vision 2030): Full integration into National Agricultural Policy. Establishment of "Smart Agri-Towns."</w:t>
      </w:r>
    </w:p>
    <w:p>
      <w:pPr>
        <w:pStyle w:val="Heading2"/>
      </w:pPr>
      <w:r>
        <w:t>4.2 Scalability Strategy</w:t>
      </w:r>
    </w:p>
    <w:p>
      <w:pPr>
        <w:numPr>
          <w:ilvl w:val="0"/>
          <w:numId w:val="2"/>
        </w:numPr>
        <w:spacing w:after="80"/>
      </w:pPr>
      <w:r>
        <w:t>Low-Tech Scalability: Biological components (biogas, composting, water management) are universal and viable for low-income rural areas across all 15 CIRDAP Member Countries.</w:t>
      </w:r>
    </w:p>
    <w:p>
      <w:pPr>
        <w:numPr>
          <w:ilvl w:val="0"/>
          <w:numId w:val="2"/>
        </w:numPr>
        <w:spacing w:after="80"/>
      </w:pPr>
      <w:r>
        <w:t>High-Tech Integration: The digital layer is Public-Private Partnership (PPP) ready. It aligns with "Smart Bangladesh 2041" and can be adopted by government Link Institutions (CLIs) in other countries to modernize extension services.</w:t>
      </w:r>
    </w:p>
    <w:p>
      <w:pPr>
        <w:numPr>
          <w:ilvl w:val="0"/>
          <w:numId w:val="2"/>
        </w:numPr>
        <w:spacing w:after="80"/>
      </w:pPr>
      <w:r>
        <w:t>Local Manufacturing: Sensors are assembled locally (PCB/Casing) with imported chips, reducing costs by 40% and creating jobs.</w:t>
      </w:r>
    </w:p>
    <w:p>
      <w:pPr>
        <w:pStyle w:val="Heading2"/>
      </w:pPr>
      <w:r>
        <w:t>4.3 Inclusivity &amp; Empowerment</w:t>
      </w:r>
    </w:p>
    <w:p>
      <w:pPr>
        <w:numPr>
          <w:ilvl w:val="0"/>
          <w:numId w:val="2"/>
        </w:numPr>
        <w:spacing w:after="80"/>
      </w:pPr>
      <w:r>
        <w:t>Women's Empowerment: Voice-command UI in local languages for low-literacy users. Cooperative certification allows landless women to access subsidies. Target: 50% female participation.</w:t>
      </w:r>
    </w:p>
    <w:p>
      <w:pPr>
        <w:numPr>
          <w:ilvl w:val="0"/>
          <w:numId w:val="2"/>
        </w:numPr>
        <w:spacing w:after="80"/>
      </w:pPr>
      <w:r>
        <w:t>Youth Engagement: NEET youth are trained as "Digital Extension Agents" to manage data and sensor maintenance, creating prestigious rural careers.</w:t>
      </w:r>
    </w:p>
    <w:p>
      <w:pPr>
        <w:numPr>
          <w:ilvl w:val="0"/>
          <w:numId w:val="2"/>
        </w:numPr>
        <w:spacing w:after="80"/>
      </w:pPr>
      <w:r>
        <w:t>Pro-Poor Access: Tiered verification (Phone -&gt; NID -&gt; Land Record) ensures even marginalized farmers access advisory services.</w:t>
      </w:r>
    </w:p>
    <w:p>
      <w:pPr>
        <w:pStyle w:val="Heading1"/>
      </w:pPr>
      <w:r>
        <w:t>5. Impact, Budget &amp; Sustainability</w:t>
      </w:r>
    </w:p>
    <w:p>
      <w:pPr>
        <w:pStyle w:val="Heading2"/>
      </w:pPr>
      <w:r>
        <w:t>5.1 Measurable Impact (KPIs)</w:t>
      </w:r>
    </w:p>
    <w:p>
      <w:pPr>
        <w:numPr>
          <w:ilvl w:val="0"/>
          <w:numId w:val="2"/>
        </w:numPr>
        <w:spacing w:after="80"/>
      </w:pPr>
      <w:r>
        <w:t>Economic: 40% reduction in operational costs; 30% increase in farm profitability; BCR &gt; 3.0.</w:t>
      </w:r>
    </w:p>
    <w:p>
      <w:pPr>
        <w:numPr>
          <w:ilvl w:val="0"/>
          <w:numId w:val="2"/>
        </w:numPr>
        <w:spacing w:after="80"/>
      </w:pPr>
      <w:r>
        <w:t>Environmental: 57% less water consumption; Zero organic waste discharge; 9-21% lower arsenic in rice; Enhanced Nutrient Use Efficiency (NUE).</w:t>
      </w:r>
    </w:p>
    <w:p>
      <w:pPr>
        <w:numPr>
          <w:ilvl w:val="0"/>
          <w:numId w:val="2"/>
        </w:numPr>
        <w:spacing w:after="80"/>
      </w:pPr>
      <w:r>
        <w:t>Social: Engagement of 200+ NEET youth in pilot phase; 50% women participation; Reduction in subsidy leakage by estimated 90%.</w:t>
      </w:r>
    </w:p>
    <w:p>
      <w:pPr>
        <w:pStyle w:val="Heading2"/>
      </w:pPr>
      <w:r>
        <w:t>5.2 Budget Overview (Pilot Phase: 500 Farmers)</w:t>
      </w:r>
    </w:p>
    <w:tbl>
      <w:tblPr>
        <w:tblW w:w="5000" w:type="pct"/>
        <w:tblBorders>
          <w:top w:val="single" w:color="4CAF50" w:sz="12"/>
          <w:left w:val="nil"/>
          <w:bottom w:val="single" w:color="4CAF50" w:sz="12"/>
          <w:right w:val="nil"/>
          <w:insideH w:val="single" w:color="CCCCCC" w:sz="4"/>
          <w:insideV w:val="nil"/>
        </w:tblBorders>
        <w:tblCellMar>
          <w:top w:w="100" w:type="dxa"/>
          <w:left w:w="150" w:type="dxa"/>
          <w:bottom w:w="100" w:type="dxa"/>
          <w:right w:w="150" w:type="dxa"/>
        </w:tblCellMar>
      </w:tblPr>
      <w:tblGrid>
        <w:gridCol w:w="4000"/>
        <w:gridCol w:w="2500"/>
        <w:gridCol w:w="3500"/>
      </w:tblGrid>
      <w:tr>
        <w:trPr>
          <w:tblHeader/>
          <w:trHeight w:val="400" w:hRule="atLeast"/>
        </w:trPr>
        <w:tc>
          <w:tcPr>
            <w:tcW w:w="4000" w:type="dxa"/>
            <w:tcBorders>
              <w:bottom w:val="single" w:color="4CAF50" w:sz="8"/>
            </w:tcBorders>
            <w:shd w:val="clear" w:fill="E8F5E9"/>
            <w:vAlign w:val="center"/>
          </w:tcPr>
          <w:p>
            <w:pPr>
              <w:spacing w:before="0" w:after="0"/>
              <w:jc w:val="center"/>
            </w:pPr>
            <w:r>
              <w:rPr>
                <w:b/>
                <w:color w:val="1B5E20"/>
                <w:sz w:val="20"/>
              </w:rPr>
              <w:t>Component</w:t>
            </w:r>
          </w:p>
        </w:tc>
        <w:tc>
          <w:tcPr>
            <w:tcW w:w="2500" w:type="dxa"/>
            <w:tcBorders>
              <w:bottom w:val="single" w:color="4CAF50" w:sz="8"/>
            </w:tcBorders>
            <w:shd w:val="clear" w:fill="E8F5E9"/>
            <w:vAlign w:val="center"/>
          </w:tcPr>
          <w:p>
            <w:pPr>
              <w:spacing w:before="0" w:after="0"/>
              <w:jc w:val="center"/>
            </w:pPr>
            <w:r>
              <w:rPr>
                <w:b/>
                <w:color w:val="1B5E20"/>
                <w:sz w:val="20"/>
              </w:rPr>
              <w:t>Estimated Cost (USD)</w:t>
            </w:r>
          </w:p>
        </w:tc>
        <w:tc>
          <w:tcPr>
            <w:tcW w:w="3500" w:type="dxa"/>
            <w:tcBorders>
              <w:bottom w:val="single" w:color="4CAF50" w:sz="8"/>
            </w:tcBorders>
            <w:shd w:val="clear" w:fill="E8F5E9"/>
            <w:vAlign w:val="center"/>
          </w:tcPr>
          <w:p>
            <w:pPr>
              <w:spacing w:before="0" w:after="0"/>
              <w:jc w:val="center"/>
            </w:pPr>
            <w:r>
              <w:rPr>
                <w:b/>
                <w:color w:val="1B5E20"/>
                <w:sz w:val="20"/>
              </w:rPr>
              <w:t>Notes</w:t>
            </w:r>
          </w:p>
        </w:tc>
      </w:tr>
      <w:tr>
        <w:trPr>
          <w:trHeight w:val="360" w:hRule="atLeast"/>
        </w:trPr>
        <w:tc>
          <w:tcPr>
            <w:tcW w:w="4000" w:type="dxa"/>
            <w:vAlign w:val="center"/>
          </w:tcPr>
          <w:p>
            <w:pPr>
              <w:spacing w:before="0" w:after="0"/>
              <w:jc w:val="left"/>
            </w:pPr>
            <w:r>
              <w:rPr>
                <w:color w:val="333333"/>
                <w:sz w:val="20"/>
              </w:rPr>
              <w:t>Sensor Hardware (100 units)</w:t>
            </w:r>
          </w:p>
        </w:tc>
        <w:tc>
          <w:tcPr>
            <w:tcW w:w="2500" w:type="dxa"/>
            <w:vAlign w:val="center"/>
          </w:tcPr>
          <w:p>
            <w:pPr>
              <w:spacing w:before="0" w:after="0"/>
              <w:jc w:val="right"/>
            </w:pPr>
            <w:r>
              <w:rPr>
                <w:color w:val="333333"/>
                <w:sz w:val="20"/>
              </w:rPr>
              <w:t>$17,500</w:t>
            </w:r>
          </w:p>
        </w:tc>
        <w:tc>
          <w:tcPr>
            <w:tcW w:w="3500" w:type="dxa"/>
            <w:vAlign w:val="center"/>
          </w:tcPr>
          <w:p>
            <w:pPr>
              <w:spacing w:before="0" w:after="0"/>
              <w:jc w:val="left"/>
            </w:pPr>
            <w:r>
              <w:rPr>
                <w:color w:val="333333"/>
                <w:sz w:val="20"/>
              </w:rPr>
              <w:t>Local PCB + Imported Chips</w:t>
            </w:r>
          </w:p>
        </w:tc>
      </w:tr>
      <w:tr>
        <w:trPr>
          <w:trHeight w:val="360" w:hRule="atLeast"/>
        </w:trPr>
        <w:tc>
          <w:tcPr>
            <w:tcW w:w="4000" w:type="dxa"/>
            <w:vAlign w:val="center"/>
          </w:tcPr>
          <w:p>
            <w:pPr>
              <w:spacing w:before="0" w:after="0"/>
              <w:jc w:val="left"/>
            </w:pPr>
            <w:r>
              <w:rPr>
                <w:color w:val="333333"/>
                <w:sz w:val="20"/>
              </w:rPr>
              <w:t>Blockchain Development</w:t>
            </w:r>
          </w:p>
        </w:tc>
        <w:tc>
          <w:tcPr>
            <w:tcW w:w="2500" w:type="dxa"/>
            <w:vAlign w:val="center"/>
          </w:tcPr>
          <w:p>
            <w:pPr>
              <w:spacing w:before="0" w:after="0"/>
              <w:jc w:val="right"/>
            </w:pPr>
            <w:r>
              <w:rPr>
                <w:color w:val="333333"/>
                <w:sz w:val="20"/>
              </w:rPr>
              <w:t>$25,000</w:t>
            </w:r>
          </w:p>
        </w:tc>
        <w:tc>
          <w:tcPr>
            <w:tcW w:w="3500" w:type="dxa"/>
            <w:vAlign w:val="center"/>
          </w:tcPr>
          <w:p>
            <w:pPr>
              <w:spacing w:before="0" w:after="0"/>
              <w:jc w:val="left"/>
            </w:pPr>
            <w:r>
              <w:rPr>
                <w:color w:val="333333"/>
                <w:sz w:val="20"/>
              </w:rPr>
              <w:t>Hyperledger Setup, Smart Contracts</w:t>
            </w:r>
          </w:p>
        </w:tc>
      </w:tr>
      <w:tr>
        <w:trPr>
          <w:trHeight w:val="360" w:hRule="atLeast"/>
        </w:trPr>
        <w:tc>
          <w:tcPr>
            <w:tcW w:w="4000" w:type="dxa"/>
            <w:vAlign w:val="center"/>
          </w:tcPr>
          <w:p>
            <w:pPr>
              <w:spacing w:before="0" w:after="0"/>
              <w:jc w:val="left"/>
            </w:pPr>
            <w:r>
              <w:rPr>
                <w:color w:val="333333"/>
                <w:sz w:val="20"/>
              </w:rPr>
              <w:t>Training &amp; Capacity Building</w:t>
            </w:r>
          </w:p>
        </w:tc>
        <w:tc>
          <w:tcPr>
            <w:tcW w:w="2500" w:type="dxa"/>
            <w:vAlign w:val="center"/>
          </w:tcPr>
          <w:p>
            <w:pPr>
              <w:spacing w:before="0" w:after="0"/>
              <w:jc w:val="right"/>
            </w:pPr>
            <w:r>
              <w:rPr>
                <w:color w:val="333333"/>
                <w:sz w:val="20"/>
              </w:rPr>
              <w:t>$15,000</w:t>
            </w:r>
          </w:p>
        </w:tc>
        <w:tc>
          <w:tcPr>
            <w:tcW w:w="3500" w:type="dxa"/>
            <w:vAlign w:val="center"/>
          </w:tcPr>
          <w:p>
            <w:pPr>
              <w:spacing w:before="0" w:after="0"/>
              <w:jc w:val="left"/>
            </w:pPr>
            <w:r>
              <w:rPr>
                <w:color w:val="333333"/>
                <w:sz w:val="20"/>
              </w:rPr>
              <w:t>50 Agents + 500 Farmers</w:t>
            </w:r>
          </w:p>
        </w:tc>
      </w:tr>
      <w:tr>
        <w:trPr>
          <w:trHeight w:val="360" w:hRule="atLeast"/>
        </w:trPr>
        <w:tc>
          <w:tcPr>
            <w:tcW w:w="4000" w:type="dxa"/>
            <w:vAlign w:val="center"/>
          </w:tcPr>
          <w:p>
            <w:pPr>
              <w:spacing w:before="0" w:after="0"/>
              <w:jc w:val="left"/>
            </w:pPr>
            <w:r>
              <w:rPr>
                <w:color w:val="333333"/>
                <w:sz w:val="20"/>
              </w:rPr>
              <w:t>Monitoring &amp; Evaluation</w:t>
            </w:r>
          </w:p>
        </w:tc>
        <w:tc>
          <w:tcPr>
            <w:tcW w:w="2500" w:type="dxa"/>
            <w:vAlign w:val="center"/>
          </w:tcPr>
          <w:p>
            <w:pPr>
              <w:spacing w:before="0" w:after="0"/>
              <w:jc w:val="right"/>
            </w:pPr>
            <w:r>
              <w:rPr>
                <w:color w:val="333333"/>
                <w:sz w:val="20"/>
              </w:rPr>
              <w:t>$10,000</w:t>
            </w:r>
          </w:p>
        </w:tc>
        <w:tc>
          <w:tcPr>
            <w:tcW w:w="3500" w:type="dxa"/>
            <w:vAlign w:val="center"/>
          </w:tcPr>
          <w:p>
            <w:pPr>
              <w:spacing w:before="0" w:after="0"/>
              <w:jc w:val="left"/>
            </w:pPr>
            <w:r>
              <w:rPr>
                <w:color w:val="333333"/>
                <w:sz w:val="20"/>
              </w:rPr>
              <w:t>Data Collection, Impact Assessment</w:t>
            </w:r>
          </w:p>
        </w:tc>
      </w:tr>
      <w:tr>
        <w:trPr>
          <w:trHeight w:val="360" w:hRule="atLeast"/>
        </w:trPr>
        <w:tc>
          <w:tcPr>
            <w:tcW w:w="4000" w:type="dxa"/>
            <w:vAlign w:val="center"/>
          </w:tcPr>
          <w:p>
            <w:pPr>
              <w:spacing w:before="0" w:after="0"/>
              <w:jc w:val="left"/>
            </w:pPr>
            <w:r>
              <w:rPr>
                <w:color w:val="333333"/>
                <w:sz w:val="20"/>
              </w:rPr>
              <w:t>Contingency (15%)</w:t>
            </w:r>
          </w:p>
        </w:tc>
        <w:tc>
          <w:tcPr>
            <w:tcW w:w="2500" w:type="dxa"/>
            <w:vAlign w:val="center"/>
          </w:tcPr>
          <w:p>
            <w:pPr>
              <w:spacing w:before="0" w:after="0"/>
              <w:jc w:val="right"/>
            </w:pPr>
            <w:r>
              <w:rPr>
                <w:color w:val="333333"/>
                <w:sz w:val="20"/>
              </w:rPr>
              <w:t>$10,125</w:t>
            </w:r>
          </w:p>
        </w:tc>
        <w:tc>
          <w:tcPr>
            <w:tcW w:w="3500" w:type="dxa"/>
            <w:vAlign w:val="center"/>
          </w:tcPr>
          <w:p>
            <w:pPr>
              <w:spacing w:before="0" w:after="0"/>
              <w:jc w:val="left"/>
            </w:pPr>
            <w:r>
              <w:rPr>
                <w:color w:val="333333"/>
                <w:sz w:val="20"/>
              </w:rPr>
              <w:t>Risk Buffer</w:t>
            </w:r>
          </w:p>
        </w:tc>
      </w:tr>
      <w:tr>
        <w:trPr>
          <w:trHeight w:val="360" w:hRule="atLeast"/>
        </w:trPr>
        <w:tc>
          <w:tcPr>
            <w:tcW w:w="4000" w:type="dxa"/>
            <w:vAlign w:val="center"/>
          </w:tcPr>
          <w:p>
            <w:pPr>
              <w:spacing w:before="0" w:after="0"/>
              <w:jc w:val="left"/>
            </w:pPr>
            <w:r>
              <w:rPr>
                <w:b/>
                <w:color w:val="333333"/>
                <w:sz w:val="20"/>
              </w:rPr>
              <w:t>TOTAL</w:t>
            </w:r>
          </w:p>
        </w:tc>
        <w:tc>
          <w:tcPr>
            <w:tcW w:w="2500" w:type="dxa"/>
            <w:vAlign w:val="center"/>
          </w:tcPr>
          <w:p>
            <w:pPr>
              <w:spacing w:before="0" w:after="0"/>
              <w:jc w:val="right"/>
            </w:pPr>
            <w:r>
              <w:rPr>
                <w:b/>
                <w:color w:val="333333"/>
                <w:sz w:val="20"/>
              </w:rPr>
              <w:t>~$77,625</w:t>
            </w:r>
          </w:p>
        </w:tc>
        <w:tc>
          <w:tcPr>
            <w:tcW w:w="3500" w:type="dxa"/>
            <w:vAlign w:val="center"/>
          </w:tcPr>
          <w:p>
            <w:pPr>
              <w:spacing w:before="0" w:after="0"/>
              <w:jc w:val="left"/>
            </w:pPr>
            <w:r>
              <w:rPr>
                <w:b/>
                <w:color w:val="333333"/>
                <w:sz w:val="20"/>
              </w:rPr>
              <w:t>Scalable Unit Cost: ~$155/farmer</w:t>
            </w:r>
          </w:p>
        </w:tc>
      </w:tr>
    </w:tbl>
    <w:p>
      <w:pPr>
        <w:pStyle w:val="Heading2"/>
      </w:pPr>
      <w:r>
        <w:t>5.3 Sustainability &amp; Funding Strategy</w:t>
      </w:r>
    </w:p>
    <w:p>
      <w:pPr>
        <w:numPr>
          <w:ilvl w:val="0"/>
          <w:numId w:val="2"/>
        </w:numPr>
        <w:spacing w:after="80"/>
      </w:pPr>
      <w:r>
        <w:t>Cost-Neutral for Farmers: Knowledge-based practice requires no significant capital investment.</w:t>
      </w:r>
    </w:p>
    <w:p>
      <w:pPr>
        <w:numPr>
          <w:ilvl w:val="0"/>
          <w:numId w:val="2"/>
        </w:numPr>
        <w:spacing w:after="80"/>
      </w:pPr>
      <w:r>
        <w:t>Revenue Streams: Carbon credits, premium markets for arsenic-safe rice, and data services.</w:t>
      </w:r>
    </w:p>
    <w:p>
      <w:pPr>
        <w:numPr>
          <w:ilvl w:val="0"/>
          <w:numId w:val="2"/>
        </w:numPr>
        <w:spacing w:after="80"/>
      </w:pPr>
      <w:r>
        <w:t>Funding Partners: CIRDAP Grant (Seed), Green Climate Fund (GCF) for climate components, Private Sector PPP for digital scaling.</w:t>
      </w:r>
    </w:p>
    <w:p>
      <w:pPr>
        <w:numPr>
          <w:ilvl w:val="0"/>
          <w:numId w:val="2"/>
        </w:numPr>
        <w:spacing w:after="80"/>
      </w:pPr>
      <w:r>
        <w:t>Policy Alignment: Supports WTO "Green Box" compliant subsidy reform and Bangladesh's NDC 3.0 climate commitments.</w:t>
      </w:r>
    </w:p>
    <w:p>
      <w:pPr>
        <w:pStyle w:val="Heading2"/>
      </w:pPr>
      <w:r>
        <w:t>5.4 Risk Management</w:t>
      </w:r>
    </w:p>
    <w:p>
      <w:pPr>
        <w:numPr>
          <w:ilvl w:val="0"/>
          <w:numId w:val="2"/>
        </w:numPr>
        <w:spacing w:after="80"/>
      </w:pPr>
      <w:r>
        <w:t>Technology Adoption: Mitigated by co-design with DAE agents and voice UI in Bangla.</w:t>
      </w:r>
    </w:p>
    <w:p>
      <w:pPr>
        <w:numPr>
          <w:ilvl w:val="0"/>
          <w:numId w:val="2"/>
        </w:numPr>
        <w:spacing w:after="80"/>
      </w:pPr>
      <w:r>
        <w:t>Connectivity: Offline-first PWA and LoRaWAN/SMS fallback ensure functionality in low-connectivity areas.</w:t>
      </w:r>
    </w:p>
    <w:p>
      <w:pPr>
        <w:numPr>
          <w:ilvl w:val="0"/>
          <w:numId w:val="2"/>
        </w:numPr>
        <w:spacing w:after="80"/>
      </w:pPr>
      <w:r>
        <w:t>Dealer Resistance: Fast settlement via smart contracts incentivizes dealers to join the platform.</w:t>
      </w:r>
    </w:p>
    <w:p>
      <w:pPr>
        <w:pStyle w:val="Heading1"/>
      </w:pPr>
      <w:r>
        <w:t>6. Conclusion</w:t>
      </w:r>
    </w:p>
    <w:p>
      <w:r>
        <w:t>GreenLoop 3.0 is not merely a farming technique; it is a prototype for the "Smart Agri-Towns" of 2030. It moves beyond traditional limits to build a resilient, transparent, and equitable rural society. By valuing both the "Green" (environment) and the "Loop" (digital and physical circularity), we ensure that rural development is no longer a matter of charity, but a model of high-efficiency innovation.</w:t>
      </w:r>
    </w:p>
    <w:p>
      <w:r>
        <w:t>With 10+ years of field experience in diverse topographies (Char lands, Haor basins, Saline coasts), the proposer bridges the gap between policy and practice. This project leverages proven science (57% water saving, 30% profit increase) and robust technology (Blockchain, IoT) to deliver Countless Smiles across the Asia-Pacific region. We invite CIRDAP to partner in scaling this vision from Yashohar to the Nation, and ultimately, to the world.</w:t>
      </w:r>
    </w:p>
    <w:p>
      <w:pPr>
        <w:pStyle w:val="Heading1"/>
      </w:pPr>
      <w:r>
        <w:t>References</w:t>
      </w:r>
    </w:p>
    <w:p>
      <w:pPr>
        <w:spacing w:after="80"/>
        <w:ind w:left="360" w:hanging="360"/>
      </w:pPr>
      <w:r>
        <w:rPr>
          <w:color w:val="666666"/>
        </w:rPr>
        <w:t xml:space="preserve">1. </w:t>
      </w:r>
      <w:r>
        <w:rPr>
          <w:color w:val="333333"/>
        </w:rPr>
        <w:t>From Lab to Field: A Blueprint for a Locally Manufactured, 12-Parameter Soil Sensor to Boost Productivity for Bangladesh's Farmers (2026)</w:t>
      </w:r>
    </w:p>
    <w:p>
      <w:pPr>
        <w:spacing w:after="80"/>
        <w:ind w:left="360" w:hanging="360"/>
      </w:pPr>
      <w:r>
        <w:rPr>
          <w:color w:val="666666"/>
        </w:rPr>
        <w:t xml:space="preserve">2. </w:t>
      </w:r>
      <w:r>
        <w:rPr>
          <w:color w:val="333333"/>
        </w:rPr>
        <w:t>Fertilizer Tracking E-Bill System: Hybrid Microservices and Blockchain Architectural Blueprint (2023)</w:t>
      </w:r>
    </w:p>
    <w:p>
      <w:pPr>
        <w:spacing w:after="80"/>
        <w:ind w:left="360" w:hanging="360"/>
      </w:pPr>
      <w:r>
        <w:rPr>
          <w:color w:val="666666"/>
        </w:rPr>
        <w:t xml:space="preserve">3. </w:t>
      </w:r>
      <w:r>
        <w:rPr>
          <w:color w:val="333333"/>
        </w:rPr>
        <w:t>Learning from Asia: A Blueprint for Sustainable Fertilizer Management in Bangladesh's Smallholder Farms (2026)</w:t>
      </w:r>
    </w:p>
    <w:p>
      <w:pPr>
        <w:spacing w:after="80"/>
        <w:ind w:left="360" w:hanging="360"/>
      </w:pPr>
      <w:r>
        <w:rPr>
          <w:color w:val="666666"/>
        </w:rPr>
        <w:t xml:space="preserve">4. </w:t>
      </w:r>
      <w:r>
        <w:rPr>
          <w:color w:val="333333"/>
        </w:rPr>
        <w:t>World Bank. (2025). Bangladesh Climate-Smart Agriculture Investment Plan. Washington, DC: World Bank Group.</w:t>
      </w:r>
    </w:p>
    <w:p>
      <w:pPr>
        <w:spacing w:after="80"/>
        <w:ind w:left="360" w:hanging="360"/>
      </w:pPr>
      <w:r>
        <w:rPr>
          <w:color w:val="666666"/>
        </w:rPr>
        <w:t xml:space="preserve">5. </w:t>
      </w:r>
      <w:r>
        <w:rPr>
          <w:color w:val="333333"/>
        </w:rPr>
        <w:t>FAO. (2023). Status of the World's Soil Resources. Rome: Food and Agriculture Organization.</w:t>
      </w:r>
    </w:p>
    <w:p>
      <w:pPr>
        <w:spacing w:after="80"/>
        <w:ind w:left="360" w:hanging="360"/>
      </w:pPr>
      <w:r>
        <w:rPr>
          <w:color w:val="666666"/>
        </w:rPr>
        <w:t xml:space="preserve">6. </w:t>
      </w:r>
      <w:r>
        <w:rPr>
          <w:color w:val="333333"/>
        </w:rPr>
        <w:t>Department of Agricultural Extension (DAE). (2024). Fertilizer Recommendation Guide (FRG). Dhaka: Ministry of Agriculture, Bangladesh.</w:t>
      </w:r>
    </w:p>
    <w:sectPr>
      <w:headerReference w:type="default" r:id="R3abaf0e2a8bd46fa"/>
      <w:footerReference w:type="default" r:id="Rb03bbd9fe7ff4148"/>
      <w:pgSz w:w="11906" w:h="16838"/>
      <w:pgMar w:top="1440" w:right="1440" w:bottom="1440" w:left="1440" w:header="720" w:footer="720"/>
    </w:sectPr>
  </w:body>
</w:document>
</file>

<file path=word/footer1.xml><?xml version="1.0" encoding="utf-8"?>
<w:ftr xmlns:w="http://schemas.openxmlformats.org/wordprocessingml/2006/main">
  <w:p>
    <w:pPr>
      <w:jc w:val="center"/>
    </w:pPr>
    <w:r>
      <w:rPr>
        <w:color w:val="999999"/>
        <w:sz w:val="18"/>
      </w:rPr>
      <w:fldChar w:fldCharType="begin"/>
    </w:r>
    <w:r>
      <w:instrText xml:space="preserve"> PAGE </w:instrText>
    </w:r>
    <w:r>
      <w:fldChar w:fldCharType="separate"/>
    </w:r>
    <w:r>
      <w:t>1</w:t>
    </w:r>
    <w:r>
      <w:fldChar w:fldCharType="end"/>
    </w:r>
    <w:r>
      <w:rPr>
        <w:color w:val="999999"/>
        <w:sz w:val="18"/>
      </w:rPr>
      <w:t xml:space="preserve"> / </w:t>
    </w:r>
    <w:r>
      <w:fldChar w:fldCharType="begin"/>
    </w:r>
    <w:r>
      <w:instrText xml:space="preserve"> NUMPAGES </w:instrText>
    </w:r>
    <w:r>
      <w:fldChar w:fldCharType="separate"/>
    </w:r>
    <w:r>
      <w:t>1</w:t>
    </w:r>
    <w:r>
      <w:fldChar w:fldCharType="end"/>
    </w:r>
  </w:p>
</w:ftr>
</file>

<file path=word/header1.xml><?xml version="1.0" encoding="utf-8"?>
<w:hdr xmlns:w="http://schemas.openxmlformats.org/wordprocessingml/2006/main">
  <w:p>
    <w:pPr>
      <w:spacing w:before="0" w:after="0"/>
      <w:jc w:val="right"/>
    </w:pPr>
    <w:r>
      <w:rPr>
        <w:color w:val="999999"/>
        <w:sz w:val="18"/>
      </w:rPr>
      <w:t>GreenLoop 3.0 | CIRDAP Innovation Challenge 2026</w:t>
    </w:r>
  </w:p>
</w:hdr>
</file>

<file path=word/numbering.xml><?xml version="1.0" encoding="utf-8"?>
<w:numbering xmlns:w="http://schemas.openxmlformats.org/wordprocessingml/2006/main">
  <w:abstractNum w:abstractNumId="1">
    <w:lvl w:ilvl="0">
      <w:numFmt w:val="decimal"/>
      <w:lvlText w:val="%1."/>
      <w:lvlJc w:val="left"/>
      <w:pPr>
        <w:ind w:left="720" w:hanging="360"/>
      </w:pPr>
    </w:lvl>
  </w:abstractNum>
  <w:abstractNum w:abstractNumId="2">
    <w:lvl w:ilvl="0">
      <w:numFmt w:val="bullet"/>
      <w:lvlText w:val="•"/>
      <w:lvlJc w:val="left"/>
      <w:pPr>
        <w:ind w:left="720" w:hanging="360"/>
      </w:pPr>
    </w:lvl>
  </w:abstractNum>
  <w:num w:numId="1">
    <w:abstractNumId w:val="1"/>
  </w:num>
  <w:num w:numId="2">
    <w:abstractNumId w:val="2"/>
  </w:num>
</w:numbering>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style w:type="paragraph" w:styleId="Normal" w:default="true">
    <w:name w:val="Normal"/>
    <w:pPr>
      <w:spacing w:after="160" w:line="276" w:lineRule="auto"/>
    </w:pPr>
    <w:rPr>
      <w:rFonts w:ascii="Calibri" w:hAnsi="Calibri" w:eastAsia="Microsoft YaHei"/>
      <w:color w:val="333333"/>
      <w:sz w:val="22"/>
    </w:rPr>
  </w:style>
  <w:style w:type="paragraph" w:styleId="Heading1">
    <w:name w:val="heading 1"/>
    <w:basedOn w:val="Normal"/>
    <w:pPr>
      <w:keepNext/>
      <w:keepLines/>
      <w:spacing w:before="400" w:after="200" w:line="240" w:lineRule="auto"/>
      <w:outlineLvl w:val="0"/>
    </w:pPr>
    <w:rPr>
      <w:b/>
      <w:color w:val="2E7D32"/>
      <w:sz w:val="28"/>
    </w:rPr>
  </w:style>
  <w:style w:type="paragraph" w:styleId="Heading2">
    <w:name w:val="heading 2"/>
    <w:basedOn w:val="Normal"/>
    <w:pPr>
      <w:keepNext/>
      <w:keepLines/>
      <w:spacing w:before="280" w:after="120"/>
      <w:outlineLvl w:val="1"/>
    </w:pPr>
    <w:rPr>
      <w:b/>
      <w:color w:val="558B2F"/>
      <w:sz w:val="24"/>
    </w:rPr>
  </w:style>
  <w:style w:type="paragraph" w:styleId="Heading3">
    <w:name w:val="heading 3"/>
    <w:basedOn w:val="Normal"/>
    <w:pPr>
      <w:keepNext/>
      <w:keepLines/>
      <w:spacing w:before="200" w:after="80"/>
      <w:outlineLvl w:val="2"/>
    </w:pPr>
    <w:rPr>
      <w:b/>
      <w:color w:val="1B5E20"/>
      <w:sz w:val="22"/>
    </w:rPr>
  </w:style>
</w:styles>
</file>

<file path=word/_rels/document.xml.rels>&#65279;<?xml version="1.0" encoding="utf-8"?><Relationships xmlns="http://schemas.openxmlformats.org/package/2006/relationships"><Relationship Type="http://schemas.openxmlformats.org/officeDocument/2006/relationships/styles" Target="/word/styles.xml" Id="Re775817c137d47f4" /><Relationship Type="http://schemas.openxmlformats.org/officeDocument/2006/relationships/numbering" Target="/word/numbering.xml" Id="R3c916eb124304fef" /><Relationship Type="http://schemas.openxmlformats.org/officeDocument/2006/relationships/image" Target="/media/image.jpg" Id="Rf1d5b77521214f83" /><Relationship Type="http://schemas.openxmlformats.org/officeDocument/2006/relationships/image" Target="/media/image.png" Id="Rab395aea5e8b4361" /><Relationship Type="http://schemas.openxmlformats.org/officeDocument/2006/relationships/header" Target="/word/header1.xml" Id="R3abaf0e2a8bd46fa" /><Relationship Type="http://schemas.openxmlformats.org/officeDocument/2006/relationships/footer" Target="/word/footer1.xml" Id="Rb03bbd9fe7ff4148" /><Relationship Type="http://schemas.openxmlformats.org/officeDocument/2006/relationships/settings" Target="/word/settings.xml" Id="Ra050d005117b4608" /></Relationships>
</file>