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sz w:val="120"/>
          <w:szCs w:val="120"/>
        </w:rPr>
        <w:t xml:space="preserve">🌿</w:t>
      </w:r>
    </w:p>
    <w:p>
      <w:pPr>
        <w:pStyle w:val="Title"/>
      </w:pPr>
      <w:r>
        <w:t xml:space="preserve">GreenLoop 3.0</w:t>
      </w:r>
    </w:p>
    <w:p>
      <w:pPr>
        <w:spacing w:after="200"/>
        <w:jc w:val="center"/>
      </w:pPr>
      <w:r>
        <w:rPr>
          <w:i/>
          <w:iCs/>
          <w:color w:val="1F2937"/>
          <w:sz w:val="28"/>
          <w:szCs w:val="28"/>
        </w:rPr>
        <w:t xml:space="preserve">Efficiency-by-Design for a Circular Future</w:t>
      </w:r>
    </w:p>
    <w:p>
      <w:pPr>
        <w:spacing w:after="400"/>
        <w:jc w:val="center"/>
      </w:pPr>
      <w:r>
        <w:rPr>
          <w:color w:val="F59E0B"/>
          <w:sz w:val="24"/>
          <w:szCs w:val="24"/>
        </w:rPr>
        <w:t xml:space="preserve">🌱 Healing the Earth, Securing the Smile 🌱</w:t>
      </w:r>
    </w:p>
    <w:p>
      <w:pPr>
        <w:spacing w:after="100" w:before="400"/>
        <w:jc w:val="center"/>
      </w:pPr>
      <w:r>
        <w:rPr>
          <w:b/>
          <w:bCs/>
          <w:sz w:val="32"/>
          <w:szCs w:val="32"/>
        </w:rPr>
        <w:t xml:space="preserve">Project Proposal</w:t>
      </w:r>
    </w:p>
    <w:p>
      <w:pPr>
        <w:jc w:val="center"/>
      </w:pPr>
      <w:r>
        <w:rPr>
          <w:sz w:val="22"/>
          <w:szCs w:val="22"/>
        </w:rPr>
        <w:t xml:space="preserve">CIRDAP-REEDS Rural Development Innovation Challenge 2026</w:t>
      </w:r>
    </w:p>
    <w:p>
      <w:pPr>
        <w:spacing w:before="800"/>
        <w:jc w:val="center"/>
      </w:pPr>
      <w:r>
        <w:rPr>
          <w:b/>
          <w:bCs/>
          <w:sz w:val="24"/>
          <w:szCs w:val="24"/>
        </w:rPr>
        <w:t xml:space="preserve">Project Innovator</w:t>
      </w:r>
    </w:p>
    <w:p>
      <w:pPr>
        <w:jc w:val="center"/>
      </w:pPr>
      <w:r>
        <w:rPr>
          <w:sz w:val="28"/>
          <w:szCs w:val="28"/>
        </w:rPr>
        <w:t xml:space="preserve">Abu Md Moniruzjaman</w:t>
      </w:r>
    </w:p>
    <w:p>
      <w:pPr>
        <w:jc w:val="center"/>
      </w:pPr>
      <w:r>
        <w:rPr>
          <w:sz w:val="22"/>
          <w:szCs w:val="22"/>
        </w:rPr>
        <w:t xml:space="preserve">Additional Deputy Director (Horticulture)</w:t>
      </w:r>
    </w:p>
    <w:p>
      <w:pPr>
        <w:jc w:val="center"/>
      </w:pPr>
      <w:r>
        <w:rPr>
          <w:sz w:val="22"/>
          <w:szCs w:val="22"/>
        </w:rPr>
        <w:t xml:space="preserve">Department of Agricultural Extension, Kurigram, Bangladesh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line="312"/>
      </w:pPr>
      <w:r>
        <w:t xml:space="preserve">GreenLoop 3.0 is a comprehensive master proposal for Circular Agriculture and Digital Governance designed for the CIRDAP-REEDS Rural Development Innovation Challenge 2026. This project represents not just a technology-driven agricultural initiative, but a Strategic Platform and Systemic Restructuring approach to fundamentally transform regional agricultural systems.</w:t>
      </w:r>
    </w:p>
    <w:p>
      <w:pPr>
        <w:spacing w:line="312"/>
      </w:pPr>
      <w:r>
        <w:t xml:space="preserve">The core philosophy is "Efficiency-by-Design" - transforming farmers from "consumers of advice" to "Analytical Agro-ecologists". The project is structured in a three-layer architecture: Layer A (Physical Circularity), Layer B (Digital Governance), and Layer C (Rural Transformation).</w:t>
      </w:r>
    </w:p>
    <w:p>
      <w:pPr>
        <w:pStyle w:val="Heading1"/>
      </w:pPr>
      <w:r>
        <w:t xml:space="preserve">2. Problem Statement</w:t>
      </w:r>
    </w:p>
    <w:p>
      <w:pPr>
        <w:pStyle w:val="Heading2"/>
      </w:pPr>
      <w:r>
        <w:t xml:space="preserve">2.1 The High-Use Paradox</w:t>
      </w:r>
    </w:p>
    <w:p>
      <w:pPr>
        <w:spacing w:line="312"/>
      </w:pPr>
      <w:r>
        <w:t xml:space="preserve">Current agricultural systems suffer from a critical paradox: fertilizer usage increases while Nutrient Use Efficiency (NUE) declines alarmingly. This leads to soil acidification, water body pollution, and economic losses.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A4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Country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A4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Previous 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A4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Current NUE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China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50%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42%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Bangladesh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GDP Loss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DC2626"/>
              </w:rPr>
              <w:t xml:space="preserve">4% ($2.4B)</w:t>
            </w:r>
          </w:p>
        </w:tc>
      </w:tr>
    </w:tbl>
    <w:p>
      <w:pPr>
        <w:spacing w:after="200" w:before="100"/>
        <w:jc w:val="center"/>
      </w:pPr>
      <w:r>
        <w:rPr>
          <w:i/>
          <w:iCs/>
          <w:sz w:val="20"/>
          <w:szCs w:val="20"/>
        </w:rPr>
        <w:t xml:space="preserve">Table 1: Regional NUE Comparison</w:t>
      </w:r>
    </w:p>
    <w:p>
      <w:pPr>
        <w:pStyle w:val="Heading2"/>
      </w:pPr>
      <w:r>
        <w:t xml:space="preserve">2.2 Root Causes</w:t>
      </w:r>
    </w:p>
    <w:p>
      <w:pPr>
        <w:pStyle w:val="ListParagraph"/>
        <w:numPr>
          <w:ilvl w:val="0"/>
          <w:numId w:val="2"/>
        </w:numPr>
        <w:spacing w:line="312"/>
      </w:pPr>
      <w:r>
        <w:t xml:space="preserve">Inorganic Value Leaks: 6-20% losses in supply chain due to poor governance and tracking</w:t>
      </w:r>
    </w:p>
    <w:p>
      <w:pPr>
        <w:pStyle w:val="ListParagraph"/>
        <w:numPr>
          <w:ilvl w:val="0"/>
          <w:numId w:val="2"/>
        </w:numPr>
        <w:spacing w:line="312"/>
      </w:pPr>
      <w:r>
        <w:t xml:space="preserve">Industrial Urea Diversion: Subsidized fertilizer diverted to non-agricultural uses</w:t>
      </w:r>
    </w:p>
    <w:p>
      <w:pPr>
        <w:pStyle w:val="ListParagraph"/>
        <w:numPr>
          <w:ilvl w:val="0"/>
          <w:numId w:val="2"/>
        </w:numPr>
        <w:spacing w:line="312"/>
      </w:pPr>
      <w:r>
        <w:t xml:space="preserve">Ghost Transactions: Fraudulent transactions exploiting subsidy systems</w:t>
      </w:r>
    </w:p>
    <w:p>
      <w:pPr>
        <w:pStyle w:val="ListParagraph"/>
        <w:numPr>
          <w:ilvl w:val="0"/>
          <w:numId w:val="2"/>
        </w:numPr>
        <w:spacing w:line="312"/>
      </w:pPr>
      <w:r>
        <w:t xml:space="preserve">Directive Agriculture Model: Farmers as passive recipients rather than knowledge producers</w:t>
      </w:r>
    </w:p>
    <w:p>
      <w:pPr>
        <w:pStyle w:val="Heading1"/>
      </w:pPr>
      <w:r>
        <w:t xml:space="preserve">3. Innovation Proposal</w:t>
      </w:r>
    </w:p>
    <w:p>
      <w:pPr>
        <w:spacing w:line="312"/>
      </w:pPr>
      <w:r>
        <w:t xml:space="preserve">GreenLoop 3.0 is structured in a three-layer architecture providing comprehensive solutions:</w:t>
      </w:r>
    </w:p>
    <w:p>
      <w:pPr>
        <w:pStyle w:val="Heading2"/>
      </w:pPr>
      <w:r>
        <w:t xml:space="preserve">3.1 Layer A: Physical Circularity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12-Parameter Soil Sensor: </w:t>
      </w:r>
      <w:r>
        <w:t xml:space="preserve">ML Estimation technology analyzing pH, EC, NPK, Ca, Mg, S, Fe, Zn, Mn, B, SOM, and Redox Potential. 30% profit increase and 20-32% yield improvement.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3F4D+MD Protocol: </w:t>
      </w:r>
      <w:r>
        <w:t xml:space="preserve">Arsenic Immobilization and Iron Oxide Re-precipitation mechanism. 9-21% arsenic reduction and 57% water savings.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Solar Cold Chain: </w:t>
      </w:r>
      <w:r>
        <w:t xml:space="preserve">10-ton solar-powered hybrid mini unit. 70% operating cost reduction and 3,500 kg CO₂ sequestration/unit/year.</w:t>
      </w:r>
    </w:p>
    <w:p>
      <w:pPr>
        <w:pStyle w:val="Heading2"/>
      </w:pPr>
      <w:r>
        <w:t xml:space="preserve">3.2 Layer B: Digital Governance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Hybrid Blockchain Architecture: </w:t>
      </w:r>
      <w:r>
        <w:t xml:space="preserve">PostgreSQL (off-chain) for fast processing and Hyperledger Fabric (on-chain) for integrity.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SHA-256 Hash-Linking: </w:t>
      </w:r>
      <w:r>
        <w:t xml:space="preserve">Digital signatures preventing data manipulation and ensuring audit trails.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Smart Farmer Card: </w:t>
      </w:r>
      <w:r>
        <w:t xml:space="preserve">NID-linked card integrating Soil Health Data and Credit Rating for financial inclusion.</w:t>
      </w:r>
    </w:p>
    <w:p>
      <w:pPr>
        <w:pStyle w:val="Heading2"/>
      </w:pPr>
      <w:r>
        <w:t xml:space="preserve">3.3 Layer C: Rural Transformation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Agro-Service Center (ASC): </w:t>
      </w:r>
      <w:r>
        <w:t xml:space="preserve">Village-level hub providing soil testing, advisory services, and market linkages.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Digital Facilitators: </w:t>
      </w:r>
      <w:r>
        <w:t xml:space="preserve">Trained NEET youth each serving 50-100 farmers. Prevents urban migration.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MEL Framework: </w:t>
      </w:r>
      <w:r>
        <w:t xml:space="preserve">FRRP (Family Resilience), VRRP (Village Resilience), 4A Learning System.</w:t>
      </w:r>
    </w:p>
    <w:p>
      <w:pPr>
        <w:pStyle w:val="Heading1"/>
      </w:pPr>
      <w:r>
        <w:t xml:space="preserve">4. Financial Framework</w:t>
      </w:r>
    </w:p>
    <w:p>
      <w:pPr>
        <w:pStyle w:val="Heading2"/>
      </w:pPr>
      <w:r>
        <w:t xml:space="preserve">4.1 Pilot Phase Budget (500 Farmers)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468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A4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A4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A4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Hardware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Soil Sensors &amp; IoT Kits (100 Units)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$17,500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Software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Blockchain &amp; e-Bill Development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$25,000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Training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Digital Facilitators &amp; Farmers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$15,000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MEL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Resilience Index Monitoring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$15,000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Admin, Audit, Contingency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$20,125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</w:tcPr>
          <w:p>
            <w:r>
              <w:rPr>
                <w:b/>
                <w:bCs/>
              </w:rPr>
              <w:t xml:space="preserve">Pilot Budget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</w:tcPr>
          <w:p>
            <w:pPr>
              <w:jc w:val="right"/>
            </w:pPr>
            <w:r>
              <w:rPr>
                <w:b/>
                <w:bCs/>
                <w:color w:val="006A4E"/>
              </w:rPr>
              <w:t xml:space="preserve">$92,625</w:t>
            </w:r>
          </w:p>
        </w:tc>
      </w:tr>
    </w:tbl>
    <w:p>
      <w:pPr>
        <w:spacing w:after="200" w:before="100"/>
        <w:jc w:val="center"/>
      </w:pPr>
      <w:r>
        <w:rPr>
          <w:i/>
          <w:iCs/>
          <w:sz w:val="20"/>
          <w:szCs w:val="20"/>
        </w:rPr>
        <w:t xml:space="preserve">Table 2: Pilot Phase Budget Breakdown</w:t>
      </w:r>
    </w:p>
    <w:p>
      <w:pPr>
        <w:pStyle w:val="Heading2"/>
      </w:pPr>
      <w:r>
        <w:t xml:space="preserve">4.2 Key Financial Metrics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Scalable Unit Cost: </w:t>
      </w:r>
      <w:r>
        <w:t xml:space="preserve">$185/কৃষক (Farmer)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IRR: </w:t>
      </w:r>
      <w:r>
        <w:t xml:space="preserve">14.47%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BCR: </w:t>
      </w:r>
      <w:r>
        <w:t xml:space="preserve">&gt; 3.0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Operating Cost Reduction: </w:t>
      </w:r>
      <w:r>
        <w:t xml:space="preserve">70%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Additional Income: </w:t>
      </w:r>
      <w:r>
        <w:t xml:space="preserve">$72/acre/year</w:t>
      </w:r>
    </w:p>
    <w:p>
      <w:pPr>
        <w:pStyle w:val="Heading1"/>
      </w:pPr>
      <w:r>
        <w:t xml:space="preserve">5. Implementation Plan</w:t>
      </w:r>
    </w:p>
    <w:p>
      <w:pPr>
        <w:pStyle w:val="Heading2"/>
      </w:pPr>
      <w:r>
        <w:t xml:space="preserve">5.1 2030 Roadmap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b/>
          <w:bCs/>
        </w:rPr>
        <w:t xml:space="preserve">Year 1 (2026) - Pilot Phase: </w:t>
      </w:r>
      <w:r>
        <w:t xml:space="preserve">Pilot ASC establishment in Kurigram, 500 farmer enrollment, blockchain network initialization.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b/>
          <w:bCs/>
        </w:rPr>
        <w:t xml:space="preserve">Year 3 (2028) - National Scale-up: </w:t>
      </w:r>
      <w:r>
        <w:t xml:space="preserve">5,000+ farmers nationally, regional blockchain node activation.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b/>
          <w:bCs/>
        </w:rPr>
        <w:t xml:space="preserve">Year 5 (2030) - Regional Expansion: </w:t>
      </w:r>
      <w:r>
        <w:t xml:space="preserve">Expansion across 15 CIRDAP member countries, 500,000 farmer target.</w:t>
      </w:r>
    </w:p>
    <w:p>
      <w:pPr>
        <w:pStyle w:val="Heading1"/>
      </w:pPr>
      <w:r>
        <w:t xml:space="preserve">6. SDG Alignment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SDG 1: </w:t>
      </w:r>
      <w:r>
        <w:t xml:space="preserve">No Poverty - Poverty eradication through increased income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SDG 2: </w:t>
      </w:r>
      <w:r>
        <w:t xml:space="preserve">Zero Hunger - Food security and sustainable agriculture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SDG 5: </w:t>
      </w:r>
      <w:r>
        <w:t xml:space="preserve">Gender Equality - Women empowerment through Digital Family Cards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SDG 6: </w:t>
      </w:r>
      <w:r>
        <w:t xml:space="preserve">Clean Water - 57% water savings through 3F4D+MD protocol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b/>
          <w:bCs/>
        </w:rPr>
        <w:t xml:space="preserve">SDG 13: </w:t>
      </w:r>
      <w:r>
        <w:t xml:space="preserve">Climate Action - 3,500 kg CO₂ sequestration per unit</w:t>
      </w:r>
    </w:p>
    <w:p>
      <w:pPr>
        <w:pStyle w:val="Heading1"/>
      </w:pPr>
      <w:r>
        <w:t xml:space="preserve">7. Contact Information</w:t>
      </w:r>
    </w:p>
    <w:p>
      <w:pPr>
        <w:spacing w:line="312"/>
      </w:pPr>
      <w:r>
        <w:rPr>
          <w:b/>
          <w:bCs/>
        </w:rPr>
        <w:t xml:space="preserve">Project Innovator: </w:t>
      </w:r>
      <w:r>
        <w:t xml:space="preserve">Abu Md Moniruzjaman</w:t>
      </w:r>
    </w:p>
    <w:p>
      <w:pPr>
        <w:spacing w:line="312"/>
      </w:pPr>
      <w:r>
        <w:rPr>
          <w:b/>
          <w:bCs/>
        </w:rPr>
        <w:t xml:space="preserve">Designation: </w:t>
      </w:r>
      <w:r>
        <w:t xml:space="preserve">Additional Deputy Director (Horticulture)</w:t>
      </w:r>
    </w:p>
    <w:p>
      <w:pPr>
        <w:spacing w:line="312"/>
      </w:pPr>
      <w:r>
        <w:rPr>
          <w:b/>
          <w:bCs/>
        </w:rPr>
        <w:t xml:space="preserve">Organization: </w:t>
      </w:r>
      <w:r>
        <w:t xml:space="preserve">Department of Agricultural Extension, Kurigram, Bangladesh</w:t>
      </w:r>
    </w:p>
    <w:p>
      <w:pPr>
        <w:spacing w:line="312"/>
      </w:pPr>
      <w:r>
        <w:rPr>
          <w:b/>
          <w:bCs/>
        </w:rPr>
        <w:t xml:space="preserve">Email: </w:t>
      </w:r>
      <w:r>
        <w:t xml:space="preserve">mithun.hstu@gmail.com</w:t>
      </w:r>
    </w:p>
    <w:p>
      <w:pPr>
        <w:spacing w:line="312"/>
      </w:pPr>
      <w:r>
        <w:rPr>
          <w:b/>
          <w:bCs/>
        </w:rPr>
        <w:t xml:space="preserve">Phone: </w:t>
      </w:r>
      <w:r>
        <w:t xml:space="preserve">+8801712653740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GreenLoop 3.0 - CIRDAP Innovation Challenge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006A4E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color w:val="006A4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2026-03-27T15:18:37.536Z</dcterms:created>
  <dcterms:modified xsi:type="dcterms:W3CDTF">2026-03-27T15:18:37.536Z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