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6qkhc1b6398w" w:id="0"/>
      <w:bookmarkEnd w:id="0"/>
      <w:r w:rsidDel="00000000" w:rsidR="00000000" w:rsidRPr="00000000">
        <w:rPr>
          <w:rtl w:val="0"/>
        </w:rPr>
        <w:t xml:space="preserve">GreenLoop 3.0: Blockchain-Enabled Circular Agriculture for Rural Empowerment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8wzlcqkrp46b" w:id="1"/>
      <w:bookmarkEnd w:id="1"/>
      <w:r w:rsidDel="00000000" w:rsidR="00000000" w:rsidRPr="00000000">
        <w:rPr>
          <w:rtl w:val="0"/>
        </w:rPr>
        <w:t xml:space="preserve">1. Project Identity and Author Profile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 GreenLoop 3.0</w:t>
      </w:r>
      <w:r w:rsidDel="00000000" w:rsidR="00000000" w:rsidRPr="00000000">
        <w:rPr>
          <w:b w:val="1"/>
          <w:bCs w:val="1"/>
          <w:rtl w:val="0"/>
        </w:rPr>
        <w:t xml:space="preserve">CIRDAP 2026 Theme Alignment:</w:t>
      </w:r>
      <w:r w:rsidDel="00000000" w:rsidR="00000000" w:rsidRPr="00000000">
        <w:rPr>
          <w:rtl w:val="0"/>
        </w:rPr>
        <w:t xml:space="preserve">  "One Innovation. Endless Change. Countless Smiles."</w:t>
      </w:r>
      <w:r w:rsidDel="00000000" w:rsidR="00000000" w:rsidRPr="00000000">
        <w:rPr>
          <w:b w:val="1"/>
          <w:bCs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 February 28, 2026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2177ug267d2d" w:id="2"/>
      <w:bookmarkEnd w:id="2"/>
      <w:r w:rsidDel="00000000" w:rsidR="00000000" w:rsidRPr="00000000">
        <w:rPr>
          <w:rtl w:val="0"/>
        </w:rPr>
        <w:t xml:space="preserve">Author Profile: Abu Md Moniruzjaman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Abu Md Moniruzjaman is a Senior Strategic Consultant and a ranking officer within the Department of Agricultural Extension (DAE), Bangladesh. A member of the 31st BCS (Agriculture) cadre, he currently serves as the  </w:t>
      </w:r>
      <w:r w:rsidDel="00000000" w:rsidR="00000000" w:rsidRPr="00000000">
        <w:rPr>
          <w:b w:val="1"/>
          <w:bCs w:val="1"/>
          <w:rtl w:val="0"/>
        </w:rPr>
        <w:t xml:space="preserve">Additional Deputy Director (Horticulture)</w:t>
      </w:r>
      <w:r w:rsidDel="00000000" w:rsidR="00000000" w:rsidRPr="00000000">
        <w:rPr>
          <w:rtl w:val="0"/>
        </w:rPr>
        <w:t xml:space="preserve">  in Kurigram. With over a decade of field-level experience managing complex agro-ecological landscapes—from the flood-prone haor basins of Sunamganj to the high-altitude terrain of Rangamati—he possesses an unparalleled understanding of rural structural vulnerabilities.His unique educational duality is the enabling factor for GreenLoop 3.0’s hybrid model: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B.Sc. in Ag-Science (HSTU):</w:t>
      </w:r>
      <w:r w:rsidDel="00000000" w:rsidR="00000000" w:rsidRPr="00000000">
        <w:rPr>
          <w:rtl w:val="0"/>
        </w:rPr>
        <w:t xml:space="preserve">  Provides the technical foundation for the  </w:t>
      </w:r>
      <w:r w:rsidDel="00000000" w:rsidR="00000000" w:rsidRPr="00000000">
        <w:rPr>
          <w:b w:val="1"/>
          <w:bCs w:val="1"/>
          <w:rtl w:val="0"/>
        </w:rPr>
        <w:t xml:space="preserve">3F4D+MD protocol</w:t>
      </w:r>
      <w:r w:rsidDel="00000000" w:rsidR="00000000" w:rsidRPr="00000000">
        <w:rPr>
          <w:rtl w:val="0"/>
        </w:rPr>
        <w:t xml:space="preserve">  and precision soil diagnostics.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MBA (North South University):</w:t>
      </w:r>
      <w:r w:rsidDel="00000000" w:rsidR="00000000" w:rsidRPr="00000000">
        <w:rPr>
          <w:rtl w:val="0"/>
        </w:rPr>
        <w:t xml:space="preserve">  Informs the  </w:t>
      </w:r>
      <w:r w:rsidDel="00000000" w:rsidR="00000000" w:rsidRPr="00000000">
        <w:rPr>
          <w:b w:val="1"/>
          <w:bCs w:val="1"/>
          <w:rtl w:val="0"/>
        </w:rPr>
        <w:t xml:space="preserve">strategic fiscal reform</w:t>
      </w:r>
      <w:r w:rsidDel="00000000" w:rsidR="00000000" w:rsidRPr="00000000">
        <w:rPr>
          <w:rtl w:val="0"/>
        </w:rPr>
        <w:t xml:space="preserve">  within the e-Bill system, transitioning agricultural subsidies from manufacturing grants to outcome-based digital disbursements.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9flgwe6c6a7h" w:id="3"/>
      <w:bookmarkEnd w:id="3"/>
      <w:r w:rsidDel="00000000" w:rsidR="00000000" w:rsidRPr="00000000">
        <w:rPr>
          <w:rtl w:val="0"/>
        </w:rPr>
        <w:t xml:space="preserve">2. Strategic Alignment with CIRDAP 2026 Framework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GreenLoop 3.0 mandates a systemic shift in rural development, aligning with the four CIRDAP thematic priorities through a measurable, data-driven framework.| Priority Area | Strategic Alignment | Measurable Target || ------ | ------ | ------ || </w:t>
      </w:r>
      <w:r w:rsidDel="00000000" w:rsidR="00000000" w:rsidRPr="00000000">
        <w:rPr>
          <w:b w:val="1"/>
          <w:bCs w:val="1"/>
          <w:rtl w:val="0"/>
        </w:rPr>
        <w:t xml:space="preserve">Gender-Responsive Development</w:t>
      </w:r>
      <w:r w:rsidDel="00000000" w:rsidR="00000000" w:rsidRPr="00000000">
        <w:rPr>
          <w:rtl w:val="0"/>
        </w:rPr>
        <w:t xml:space="preserve"> | Consolidation of VWB, TCB, and VGF funds into a  </w:t>
      </w:r>
      <w:r w:rsidDel="00000000" w:rsidR="00000000" w:rsidRPr="00000000">
        <w:rPr>
          <w:b w:val="1"/>
          <w:bCs w:val="1"/>
          <w:rtl w:val="0"/>
        </w:rPr>
        <w:t xml:space="preserve">12,000 Crore BDT</w:t>
      </w:r>
      <w:r w:rsidDel="00000000" w:rsidR="00000000" w:rsidRPr="00000000">
        <w:rPr>
          <w:rtl w:val="0"/>
        </w:rPr>
        <w:t xml:space="preserve">  integrated fund. Deployment of "Family Cards" to ensure transparent nutritional and financial inclusion for women-headed households. | 50% Women Participation Rate; 100% transparent fund disbursement. || </w:t>
      </w:r>
      <w:r w:rsidDel="00000000" w:rsidR="00000000" w:rsidRPr="00000000">
        <w:rPr>
          <w:b w:val="1"/>
          <w:bCs w:val="1"/>
          <w:rtl w:val="0"/>
        </w:rPr>
        <w:t xml:space="preserve">Climate Resilience</w:t>
      </w:r>
      <w:r w:rsidDel="00000000" w:rsidR="00000000" w:rsidRPr="00000000">
        <w:rPr>
          <w:rtl w:val="0"/>
        </w:rPr>
        <w:t xml:space="preserve"> | Mandatory adoption of the 3F4D+MD protocol and solar-grid hybrid storage to mitigate environmental risk and carbon footprints. | 3,500kg CO2 sequestered per unit; 57% reduction in water consumption. || </w:t>
      </w:r>
      <w:r w:rsidDel="00000000" w:rsidR="00000000" w:rsidRPr="00000000">
        <w:rPr>
          <w:b w:val="1"/>
          <w:bCs w:val="1"/>
          <w:rtl w:val="0"/>
        </w:rPr>
        <w:t xml:space="preserve">Digital Transformation</w:t>
      </w:r>
      <w:r w:rsidDel="00000000" w:rsidR="00000000" w:rsidRPr="00000000">
        <w:rPr>
          <w:rtl w:val="0"/>
        </w:rPr>
        <w:t xml:space="preserve"> | Hybrid architecture (PostgreSQL/Hyperledger) using SHA-256 hash-linking to bridge data silos while ensuring data sovereignty and integrity. | &lt;24-hour response time; 0% data manipulation (Trust Deficit prevention). || </w:t>
      </w:r>
      <w:r w:rsidDel="00000000" w:rsidR="00000000" w:rsidRPr="00000000">
        <w:rPr>
          <w:b w:val="1"/>
          <w:bCs w:val="1"/>
          <w:rtl w:val="0"/>
        </w:rPr>
        <w:t xml:space="preserve">Youth Employment</w:t>
      </w:r>
      <w:r w:rsidDel="00000000" w:rsidR="00000000" w:rsidRPr="00000000">
        <w:rPr>
          <w:rtl w:val="0"/>
        </w:rPr>
        <w:t xml:space="preserve"> | Training and certification of NEET (Not in Education, Employment, or Training) youth as "Digital Facilitators" to operate Agro-Service Centres. | 200+ NEET youth engaged per region; 30% reduction in local youth migration. |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3k2hwxzcrim8" w:id="4"/>
      <w:bookmarkEnd w:id="4"/>
      <w:r w:rsidDel="00000000" w:rsidR="00000000" w:rsidRPr="00000000">
        <w:rPr>
          <w:rtl w:val="0"/>
        </w:rPr>
        <w:t xml:space="preserve">3. The Problem: The High-Use Paradox and Value Destruction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Asia-Pacific agricultural sector is currently trapped in a "High-Use Paradox." While fertilizer intensification historically secured food sovereignty, current over-application has reached a point of diminishing returns, leading to systemic fiscal drain and ecological decay.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amtk0sinkuxd" w:id="5"/>
      <w:bookmarkEnd w:id="5"/>
      <w:r w:rsidDel="00000000" w:rsidR="00000000" w:rsidRPr="00000000">
        <w:rPr>
          <w:rtl w:val="0"/>
        </w:rPr>
        <w:t xml:space="preserve">Nutrient Use Efficiency (NUE) Collapse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Regional data confirms that surging fertilizer consumption has decoupled from productivity: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China:</w:t>
      </w:r>
      <w:r w:rsidDel="00000000" w:rsidR="00000000" w:rsidRPr="00000000">
        <w:rPr>
          <w:rtl w:val="0"/>
        </w:rPr>
        <w:t xml:space="preserve">  NUE plummeted from 61% to 50%.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India:</w:t>
      </w:r>
      <w:r w:rsidDel="00000000" w:rsidR="00000000" w:rsidRPr="00000000">
        <w:rPr>
          <w:rtl w:val="0"/>
        </w:rPr>
        <w:t xml:space="preserve">  NUE declined from 50% to 42%, resulting in an annual fertilizer subsidy drain exceeding  </w:t>
      </w:r>
      <w:r w:rsidDel="00000000" w:rsidR="00000000" w:rsidRPr="00000000">
        <w:rPr>
          <w:b w:val="1"/>
          <w:bCs w:val="1"/>
          <w:rtl w:val="0"/>
        </w:rPr>
        <w:t xml:space="preserve">US$8 billion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6q9sk5zbqd05" w:id="6"/>
      <w:bookmarkEnd w:id="6"/>
      <w:r w:rsidDel="00000000" w:rsidR="00000000" w:rsidRPr="00000000">
        <w:rPr>
          <w:rtl w:val="0"/>
        </w:rPr>
        <w:t xml:space="preserve">Systemic "Value Leaks"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current fragmented system destroys roughly 4.0% of national GDP through "Inorganic Value Leaks." In Bangladesh alone, this results in  </w:t>
      </w:r>
      <w:r w:rsidDel="00000000" w:rsidR="00000000" w:rsidRPr="00000000">
        <w:rPr>
          <w:b w:val="1"/>
          <w:bCs w:val="1"/>
          <w:rtl w:val="0"/>
        </w:rPr>
        <w:t xml:space="preserve">$2.4 billion in annual financial decay</w:t>
      </w:r>
      <w:r w:rsidDel="00000000" w:rsidR="00000000" w:rsidRPr="00000000">
        <w:rPr>
          <w:rtl w:val="0"/>
        </w:rPr>
        <w:t xml:space="preserve">  due to post-harvest loss and supply chain opacity.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Post-Harvest Waste:</w:t>
      </w:r>
      <w:r w:rsidDel="00000000" w:rsidR="00000000" w:rsidRPr="00000000">
        <w:rPr>
          <w:rtl w:val="0"/>
        </w:rPr>
        <w:t xml:space="preserve">  Up to 40% in vegetables and 35% in mangoes due to the absence of first-mile cold chains.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Supply Chain Leaks:</w:t>
      </w:r>
      <w:r w:rsidDel="00000000" w:rsidR="00000000" w:rsidRPr="00000000">
        <w:rPr>
          <w:rtl w:val="0"/>
        </w:rPr>
        <w:t xml:space="preserve">  6% to 20% of sales are lost to "ghost beneficiaries" and subsidy diversion.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Hydrological Crisis:</w:t>
      </w:r>
      <w:r w:rsidDel="00000000" w:rsidR="00000000" w:rsidRPr="00000000">
        <w:rPr>
          <w:rtl w:val="0"/>
        </w:rPr>
        <w:t xml:space="preserve">  In Bangladesh,  </w:t>
      </w:r>
      <w:r w:rsidDel="00000000" w:rsidR="00000000" w:rsidRPr="00000000">
        <w:rPr>
          <w:b w:val="1"/>
          <w:bCs w:val="1"/>
          <w:rtl w:val="0"/>
        </w:rPr>
        <w:t xml:space="preserve">78% of all irrigation water</w:t>
      </w:r>
      <w:r w:rsidDel="00000000" w:rsidR="00000000" w:rsidRPr="00000000">
        <w:rPr>
          <w:rtl w:val="0"/>
        </w:rPr>
        <w:t xml:space="preserve">  is consumed by Boro rice. This extreme extraction makes the 3F4D+MD system not merely an improvement, but a  </w:t>
      </w:r>
      <w:r w:rsidDel="00000000" w:rsidR="00000000" w:rsidRPr="00000000">
        <w:rPr>
          <w:b w:val="1"/>
          <w:bCs w:val="1"/>
          <w:rtl w:val="0"/>
        </w:rPr>
        <w:t xml:space="preserve">fiscal and environmental mandate.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bjdt9lmxtf2g" w:id="7"/>
      <w:bookmarkEnd w:id="7"/>
      <w:r w:rsidDel="00000000" w:rsidR="00000000" w:rsidRPr="00000000">
        <w:rPr>
          <w:rtl w:val="0"/>
        </w:rPr>
        <w:t xml:space="preserve">4. Technical Blueprint Layer A: The Physical Circular Farm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GreenLoop 3.0 re-engineers the farm as a waste-free, precision-managed architecture through three core physical components: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12-Parameter Precision Soil Sensor:</w:t>
      </w:r>
      <w:r w:rsidDel="00000000" w:rsidR="00000000" w:rsidRPr="00000000">
        <w:rPr>
          <w:rtl w:val="0"/>
        </w:rPr>
        <w:t xml:space="preserve">  A handheld device utilizing Machine Learning (ML). It provides direct chemical measurements (pH, EC, Moisture, Temperature, NPK, Ca, Mg, S) and ML-estimated values for micro-nutrients (Fe, Zn, Mn, B) and Soil Organic Matter (SOM).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3F4D+MD Irrigation:</w:t>
      </w:r>
      <w:r w:rsidDel="00000000" w:rsidR="00000000" w:rsidRPr="00000000">
        <w:rPr>
          <w:rtl w:val="0"/>
        </w:rPr>
        <w:t xml:space="preserve">  The "Three-Phase Four-Day + Modified Depth" protocol for water conservation. By promoting aerobic soil conditions, the system facilitates  </w:t>
      </w:r>
      <w:r w:rsidDel="00000000" w:rsidR="00000000" w:rsidRPr="00000000">
        <w:rPr>
          <w:b w:val="1"/>
          <w:bCs w:val="1"/>
          <w:rtl w:val="0"/>
        </w:rPr>
        <w:t xml:space="preserve">iron oxide re-precipitation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arsenic immobilization</w:t>
      </w:r>
      <w:r w:rsidDel="00000000" w:rsidR="00000000" w:rsidRPr="00000000">
        <w:rPr>
          <w:rtl w:val="0"/>
        </w:rPr>
        <w:t xml:space="preserve"> , reducing arsenic uptake by 9–21% in regions where 61 of 64 districts face contamination.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Solar-Grid Hybrid Cold Chain:</w:t>
      </w:r>
      <w:r w:rsidDel="00000000" w:rsidR="00000000" w:rsidRPr="00000000">
        <w:rPr>
          <w:rtl w:val="0"/>
        </w:rPr>
        <w:t xml:space="preserve">  A 10-ton mini-storage unit (2°C to 8°C). The  </w:t>
      </w:r>
      <w:r w:rsidDel="00000000" w:rsidR="00000000" w:rsidRPr="00000000">
        <w:rPr>
          <w:b w:val="1"/>
          <w:bCs w:val="1"/>
          <w:rtl w:val="0"/>
        </w:rPr>
        <w:t xml:space="preserve">70% operating cost reduction</w:t>
      </w:r>
      <w:r w:rsidDel="00000000" w:rsidR="00000000" w:rsidRPr="00000000">
        <w:rPr>
          <w:rtl w:val="0"/>
        </w:rPr>
        <w:t xml:space="preserve">  compared to traditional grid-only storage is the primary driver for a 14.47% IRR, increasing farmer bargaining power by 20–30% by eliminating distress sales.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pk1ek5t3ib75" w:id="8"/>
      <w:bookmarkEnd w:id="8"/>
      <w:r w:rsidDel="00000000" w:rsidR="00000000" w:rsidRPr="00000000">
        <w:rPr>
          <w:rtl w:val="0"/>
        </w:rPr>
        <w:t xml:space="preserve">5. Technical Blueprint Layer B: Efficiency 3.0 Blockchain Governance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digital architecture ensures absolute transparency, eliminating "Trust Deficits" between the state and the farmer.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Off-Chain Layer (PostgreSQL):</w:t>
      </w:r>
      <w:r w:rsidDel="00000000" w:rsidR="00000000" w:rsidRPr="00000000">
        <w:rPr>
          <w:rtl w:val="0"/>
        </w:rPr>
        <w:t xml:space="preserve">  Serves as the "Source of Truth for Details," storing high-volume Personal Identifiable Information (PII), detailed soil records, and transaction histories.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On-Chain Layer (Hyperledger Fabric):</w:t>
      </w:r>
      <w:r w:rsidDel="00000000" w:rsidR="00000000" w:rsidRPr="00000000">
        <w:rPr>
          <w:rtl w:val="0"/>
        </w:rPr>
        <w:t xml:space="preserve">  Serves as the "Source of Truth for Integrity." Utilizing  </w:t>
      </w:r>
      <w:r w:rsidDel="00000000" w:rsidR="00000000" w:rsidRPr="00000000">
        <w:rPr>
          <w:b w:val="1"/>
          <w:bCs w:val="1"/>
          <w:rtl w:val="0"/>
        </w:rPr>
        <w:t xml:space="preserve">Proof of Authority (PoA)</w:t>
      </w:r>
      <w:r w:rsidDel="00000000" w:rsidR="00000000" w:rsidRPr="00000000">
        <w:rPr>
          <w:rtl w:val="0"/>
        </w:rPr>
        <w:t xml:space="preserve">  consensus for rural nodes, it maintains an immutable audit trail for subsidy verification.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SHA-256 Hash-Linking:</w:t>
      </w:r>
      <w:r w:rsidDel="00000000" w:rsidR="00000000" w:rsidRPr="00000000">
        <w:rPr>
          <w:rtl w:val="0"/>
        </w:rPr>
        <w:t xml:space="preserve">  Every record in the PostgreSQL database is hashed using SHA-256 and stored on the blockchain. Any unauthorized modification to off-chain PII records results in a hash mismatch, flagging a "Trust Deficit" and halting disbursement.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e-Bill System:</w:t>
      </w:r>
      <w:r w:rsidDel="00000000" w:rsidR="00000000" w:rsidRPr="00000000">
        <w:rPr>
          <w:rtl w:val="0"/>
        </w:rPr>
        <w:t xml:space="preserve">  Decouples subsidies from manufacturing and reattaches them to verified Point-of-Sale (POS) transactions. Subsidy disbursement is only triggered when a dealer records a transaction with a verified  </w:t>
      </w:r>
      <w:r w:rsidDel="00000000" w:rsidR="00000000" w:rsidRPr="00000000">
        <w:rPr>
          <w:b w:val="1"/>
          <w:bCs w:val="1"/>
          <w:rtl w:val="0"/>
        </w:rPr>
        <w:t xml:space="preserve">Smart Farmer Card</w:t>
      </w:r>
      <w:r w:rsidDel="00000000" w:rsidR="00000000" w:rsidRPr="00000000">
        <w:rPr>
          <w:rtl w:val="0"/>
        </w:rPr>
        <w:t xml:space="preserve"> , eliminating ghost transactions and industrial diversion.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s7u6ooxmafbe" w:id="9"/>
      <w:bookmarkEnd w:id="9"/>
      <w:r w:rsidDel="00000000" w:rsidR="00000000" w:rsidRPr="00000000">
        <w:rPr>
          <w:rtl w:val="0"/>
        </w:rPr>
        <w:t xml:space="preserve">6. CMC Replication Roadmap (All 15 Member Countries)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five-year replication plan prioritizes national policy integration across CIRDAP Member Countries (CMC).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c62pz8l9sl6" w:id="10"/>
      <w:bookmarkEnd w:id="10"/>
      <w:r w:rsidDel="00000000" w:rsidR="00000000" w:rsidRPr="00000000">
        <w:rPr>
          <w:rtl w:val="0"/>
        </w:rPr>
        <w:t xml:space="preserve">Context-Specific Interventions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India:</w:t>
      </w:r>
      <w:r w:rsidDel="00000000" w:rsidR="00000000" w:rsidRPr="00000000">
        <w:rPr>
          <w:rtl w:val="0"/>
        </w:rPr>
        <w:t xml:space="preserve">  Implementation of  </w:t>
      </w:r>
      <w:r w:rsidDel="00000000" w:rsidR="00000000" w:rsidRPr="00000000">
        <w:rPr>
          <w:b w:val="1"/>
          <w:bCs w:val="1"/>
          <w:rtl w:val="0"/>
        </w:rPr>
        <w:t xml:space="preserve">Nano-Urea conversion</w:t>
      </w:r>
      <w:r w:rsidDel="00000000" w:rsidR="00000000" w:rsidRPr="00000000">
        <w:rPr>
          <w:rtl w:val="0"/>
        </w:rPr>
        <w:t xml:space="preserve">  as the core strategy to recover NUE and stabilize fiscal outlays.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Vietnam:</w:t>
      </w:r>
      <w:r w:rsidDel="00000000" w:rsidR="00000000" w:rsidRPr="00000000">
        <w:rPr>
          <w:rtl w:val="0"/>
        </w:rPr>
        <w:t xml:space="preserve">  Mandatory integration with the  </w:t>
      </w:r>
      <w:r w:rsidDel="00000000" w:rsidR="00000000" w:rsidRPr="00000000">
        <w:rPr>
          <w:b w:val="1"/>
          <w:bCs w:val="1"/>
          <w:rtl w:val="0"/>
        </w:rPr>
        <w:t xml:space="preserve">"One Must Do, One Should Do"</w:t>
      </w:r>
      <w:r w:rsidDel="00000000" w:rsidR="00000000" w:rsidRPr="00000000">
        <w:rPr>
          <w:rtl w:val="0"/>
        </w:rPr>
        <w:t xml:space="preserve">  programs in the Red River Delta, utilizing the 3F4D+MD protocol.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Philippines:</w:t>
      </w:r>
      <w:r w:rsidDel="00000000" w:rsidR="00000000" w:rsidRPr="00000000">
        <w:rPr>
          <w:rtl w:val="0"/>
        </w:rPr>
        <w:t xml:space="preserve">  Leveraging  </w:t>
      </w:r>
      <w:r w:rsidDel="00000000" w:rsidR="00000000" w:rsidRPr="00000000">
        <w:rPr>
          <w:b w:val="1"/>
          <w:bCs w:val="1"/>
          <w:rtl w:val="0"/>
        </w:rPr>
        <w:t xml:space="preserve">AFEAC cooperative models</w:t>
      </w:r>
      <w:r w:rsidDel="00000000" w:rsidR="00000000" w:rsidRPr="00000000">
        <w:rPr>
          <w:rtl w:val="0"/>
        </w:rPr>
        <w:t xml:space="preserve">  for demand aggregation and centralized POS-based subsidy verification.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Nepal:</w:t>
      </w:r>
      <w:r w:rsidDel="00000000" w:rsidR="00000000" w:rsidRPr="00000000">
        <w:rPr>
          <w:rtl w:val="0"/>
        </w:rPr>
        <w:t xml:space="preserve">  Deployment of decentralized solar cold chains in high-value horticultural zones to bypass mountainous logistics barriers.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yfqu5wbz0nq6" w:id="11"/>
      <w:bookmarkEnd w:id="11"/>
      <w:r w:rsidDel="00000000" w:rsidR="00000000" w:rsidRPr="00000000">
        <w:rPr>
          <w:rtl w:val="0"/>
        </w:rPr>
        <w:t xml:space="preserve">Chronological Timeline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 1 (Pilot):</w:t>
      </w:r>
      <w:r w:rsidDel="00000000" w:rsidR="00000000" w:rsidRPr="00000000">
        <w:rPr>
          <w:rtl w:val="0"/>
        </w:rPr>
        <w:t xml:space="preserve">  Launch in 3 Agro-Ecological Zones (Kurigram, Shyamnagar, Haor); enroll 500 farmers; train 50 Digital Facilitators.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 3 (National Scale-up):</w:t>
      </w:r>
      <w:r w:rsidDel="00000000" w:rsidR="00000000" w:rsidRPr="00000000">
        <w:rPr>
          <w:rtl w:val="0"/>
        </w:rPr>
        <w:t xml:space="preserve">  Expansion to 30 Agro-Ecological Zones; full integration with national Department of Agricultural Extension (DAE) protocols.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Year 5 (Regional Institutionalization):</w:t>
      </w:r>
      <w:r w:rsidDel="00000000" w:rsidR="00000000" w:rsidRPr="00000000">
        <w:rPr>
          <w:rtl w:val="0"/>
        </w:rPr>
        <w:t xml:space="preserve">  Finalization of the  </w:t>
      </w:r>
      <w:r w:rsidDel="00000000" w:rsidR="00000000" w:rsidRPr="00000000">
        <w:rPr>
          <w:b w:val="1"/>
          <w:bCs w:val="1"/>
          <w:rtl w:val="0"/>
        </w:rPr>
        <w:t xml:space="preserve">Regional Ag-Data Commons</w:t>
      </w:r>
      <w:r w:rsidDel="00000000" w:rsidR="00000000" w:rsidRPr="00000000">
        <w:rPr>
          <w:rtl w:val="0"/>
        </w:rPr>
        <w:t xml:space="preserve">  to facilitate cross-border data sovereignty and policy alignment.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gwxn0nsq8u8e" w:id="12"/>
      <w:bookmarkEnd w:id="12"/>
      <w:r w:rsidDel="00000000" w:rsidR="00000000" w:rsidRPr="00000000">
        <w:rPr>
          <w:rtl w:val="0"/>
        </w:rPr>
        <w:t xml:space="preserve">7. Pilot Phase Budget for 500 Farmers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budget is engineered for high-impact hardware deployment and the establishment of the digital integrity layer.| Line Item | Estimated Cost (USD) || ------ | ------ || Sensor Hardware (100 units) | $17,500 || Blockchain Development (Hyperledger Fabric) | $25,000 || Training and Capacity Building | $15,000 || MEL and Participatory Systems | $15,000 || Monitoring and Evaluation | $10,000 || Contingency (15%) | $10,125 || </w:t>
      </w:r>
      <w:r w:rsidDel="00000000" w:rsidR="00000000" w:rsidRPr="00000000">
        <w:rPr>
          <w:b w:val="1"/>
          <w:bCs w:val="1"/>
          <w:rtl w:val="0"/>
        </w:rPr>
        <w:t xml:space="preserve">Total Pilot Budget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~$92,625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b w:val="1"/>
          <w:bCs w:val="1"/>
          <w:rtl w:val="0"/>
        </w:rPr>
        <w:t xml:space="preserve">Scalable Unit Cost per Farmer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~$185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k08h5jtklhdz" w:id="13"/>
      <w:bookmarkEnd w:id="13"/>
      <w:r w:rsidDel="00000000" w:rsidR="00000000" w:rsidRPr="00000000">
        <w:rPr>
          <w:rtl w:val="0"/>
        </w:rPr>
        <w:t xml:space="preserve">8. Risk Management: Bridging the Digital Divide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 counter the "inverted U-shaped effect"—where system complexity outpaces user literacy—GreenLoop 3.0 mandates three mitigation pillars: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Icon-Driven UI:</w:t>
      </w:r>
      <w:r w:rsidDel="00000000" w:rsidR="00000000" w:rsidRPr="00000000">
        <w:rPr>
          <w:rtl w:val="0"/>
        </w:rPr>
        <w:t xml:space="preserve">  Standardized, low-bandwidth, voice-controlled interfaces in local languages to ensure accessibility for low-literacy users.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Digital Facilitators:</w:t>
      </w:r>
      <w:r w:rsidDel="00000000" w:rsidR="00000000" w:rsidRPr="00000000">
        <w:rPr>
          <w:rtl w:val="0"/>
        </w:rPr>
        <w:t xml:space="preserve">  Rural youth intermediaries who provide the human interface for digital advisory and e-Bill authentication.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Human-in-the-loop AI:</w:t>
      </w:r>
      <w:r w:rsidDel="00000000" w:rsidR="00000000" w:rsidRPr="00000000">
        <w:rPr>
          <w:rtl w:val="0"/>
        </w:rPr>
        <w:t xml:space="preserve">  All AI-generated agricultural insights undergo a  </w:t>
      </w:r>
      <w:r w:rsidDel="00000000" w:rsidR="00000000" w:rsidRPr="00000000">
        <w:rPr>
          <w:b w:val="1"/>
          <w:bCs w:val="1"/>
          <w:rtl w:val="0"/>
        </w:rPr>
        <w:t xml:space="preserve">24-hour advisory validation cycle</w:t>
      </w:r>
      <w:r w:rsidDel="00000000" w:rsidR="00000000" w:rsidRPr="00000000">
        <w:rPr>
          <w:rtl w:val="0"/>
        </w:rPr>
        <w:t xml:space="preserve">  by human experts. This prevents "hallucinated" advice and maintains the integrity of the technical recommendations.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fgc0wxeq71q4" w:id="14"/>
      <w:bookmarkEnd w:id="14"/>
      <w:r w:rsidDel="00000000" w:rsidR="00000000" w:rsidRPr="00000000">
        <w:rPr>
          <w:rtl w:val="0"/>
        </w:rPr>
        <w:t xml:space="preserve">9. Monitoring, Evaluation, and Learning (MEL) Framework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move beyond simple output metrics to evaluate resilience through the  </w:t>
      </w:r>
      <w:r w:rsidDel="00000000" w:rsidR="00000000" w:rsidRPr="00000000">
        <w:rPr>
          <w:b w:val="1"/>
          <w:bCs w:val="1"/>
          <w:rtl w:val="0"/>
        </w:rPr>
        <w:t xml:space="preserve">Family Resilience Recognition (FRRP)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Village Resilience Recognition (VRRP)</w:t>
      </w:r>
      <w:r w:rsidDel="00000000" w:rsidR="00000000" w:rsidRPr="00000000">
        <w:rPr>
          <w:rtl w:val="0"/>
        </w:rPr>
        <w:t xml:space="preserve">  indices.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uq4ql7cu6pb0" w:id="15"/>
      <w:bookmarkEnd w:id="15"/>
      <w:r w:rsidDel="00000000" w:rsidR="00000000" w:rsidRPr="00000000">
        <w:rPr>
          <w:rtl w:val="0"/>
        </w:rPr>
        <w:t xml:space="preserve">The 4A Learning System &amp; Success Metrics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GreenLoop 3.0 utilizes a continuous feedback loop: 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  (inclusive entry points),  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 (mandatory feedback prompts),  </w:t>
      </w: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  (Expert-AI synthesis), and  </w:t>
      </w:r>
      <w:r w:rsidDel="00000000" w:rsidR="00000000" w:rsidRPr="00000000">
        <w:rPr>
          <w:b w:val="1"/>
          <w:bCs w:val="1"/>
          <w:rtl w:val="0"/>
        </w:rPr>
        <w:t xml:space="preserve">Adaptation</w:t>
      </w:r>
      <w:r w:rsidDel="00000000" w:rsidR="00000000" w:rsidRPr="00000000">
        <w:rPr>
          <w:rtl w:val="0"/>
        </w:rPr>
        <w:t xml:space="preserve">  (policy shifting).| Success Indicator | Target Benchmark || ------ | ------ || </w:t>
      </w:r>
      <w:r w:rsidDel="00000000" w:rsidR="00000000" w:rsidRPr="00000000">
        <w:rPr>
          <w:b w:val="1"/>
          <w:bCs w:val="1"/>
          <w:rtl w:val="0"/>
        </w:rPr>
        <w:t xml:space="preserve">Average Response Time</w:t>
      </w:r>
      <w:r w:rsidDel="00000000" w:rsidR="00000000" w:rsidRPr="00000000">
        <w:rPr>
          <w:rtl w:val="0"/>
        </w:rPr>
        <w:t xml:space="preserve"> | &lt; 24 Hours || </w:t>
      </w:r>
      <w:r w:rsidDel="00000000" w:rsidR="00000000" w:rsidRPr="00000000">
        <w:rPr>
          <w:b w:val="1"/>
          <w:bCs w:val="1"/>
          <w:rtl w:val="0"/>
        </w:rPr>
        <w:t xml:space="preserve">Farmer Satisfaction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≥ 4.0 / 5.0 || </w:t>
      </w:r>
      <w:r w:rsidDel="00000000" w:rsidR="00000000" w:rsidRPr="00000000">
        <w:rPr>
          <w:b w:val="1"/>
          <w:bCs w:val="1"/>
          <w:rtl w:val="0"/>
        </w:rPr>
        <w:t xml:space="preserve">Policy Changes Based on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≥ 20 per Year || </w:t>
      </w:r>
      <w:r w:rsidDel="00000000" w:rsidR="00000000" w:rsidRPr="00000000">
        <w:rPr>
          <w:b w:val="1"/>
          <w:bCs w:val="1"/>
          <w:rtl w:val="0"/>
        </w:rPr>
        <w:t xml:space="preserve">Resilience Tiers</w:t>
      </w:r>
      <w:r w:rsidDel="00000000" w:rsidR="00000000" w:rsidRPr="00000000">
        <w:rPr>
          <w:rtl w:val="0"/>
        </w:rPr>
        <w:t xml:space="preserve"> | Gold (80+), Silver (60-79), Emerging (40-59), Vulnerable (&lt;40) |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z7b4andthby4" w:id="16"/>
      <w:bookmarkEnd w:id="16"/>
      <w:r w:rsidDel="00000000" w:rsidR="00000000" w:rsidRPr="00000000">
        <w:rPr>
          <w:rtl w:val="0"/>
        </w:rPr>
        <w:t xml:space="preserve">10. Conclusion and Call to Action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GreenLoop 3.0 is  </w:t>
      </w:r>
      <w:r w:rsidDel="00000000" w:rsidR="00000000" w:rsidRPr="00000000">
        <w:rPr>
          <w:b w:val="1"/>
          <w:bCs w:val="1"/>
          <w:rtl w:val="0"/>
        </w:rPr>
        <w:t xml:space="preserve">"Efficiency-by-Design."</w:t>
      </w:r>
      <w:r w:rsidDel="00000000" w:rsidR="00000000" w:rsidRPr="00000000">
        <w:rPr>
          <w:rtl w:val="0"/>
        </w:rPr>
        <w:t xml:space="preserve">  It is not merely a technology stack; it is a new institutional model for the Asia-Pacific region. By merging blockchain transparency with the physical circularity of precision farming, we offer a fiscally responsible pathway to sustainable intensification. This proposal mandates a transition from opaque, input-heavy agriculture to an inclusive, data-sovereign, and waste-free future for every CIRDAP member country.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