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Discharge Protocol</w:t>
      </w:r>
    </w:p>
    <w:p>
      <w:r>
        <w:t>This protocol applies to all inpatient wards.</w:t>
      </w:r>
    </w:p>
    <w:p>
      <w:pPr>
        <w:pStyle w:val="Heading1"/>
      </w:pPr>
      <w:r>
        <w:t>Timelines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Deadline</w:t>
            </w:r>
          </w:p>
        </w:tc>
      </w:tr>
      <w:tr>
        <w:tc>
          <w:tcPr>
            <w:tcW w:type="dxa" w:w="4320"/>
          </w:tcPr>
          <w:p>
            <w:r>
              <w:t>Discharge summary signed by the consultant</w:t>
            </w:r>
          </w:p>
        </w:tc>
        <w:tc>
          <w:tcPr>
            <w:tcW w:type="dxa" w:w="4320"/>
          </w:tcPr>
          <w:p>
            <w:r>
              <w:t>within 24 hours of discharge</w:t>
            </w:r>
          </w:p>
        </w:tc>
      </w:tr>
      <w:tr>
        <w:tc>
          <w:tcPr>
            <w:tcW w:type="dxa" w:w="4320"/>
          </w:tcPr>
          <w:p>
            <w:r>
              <w:t>Follow-up phone call to the patient</w:t>
            </w:r>
          </w:p>
        </w:tc>
        <w:tc>
          <w:tcPr>
            <w:tcW w:type="dxa" w:w="4320"/>
          </w:tcPr>
          <w:p>
            <w:r>
              <w:t>within 48 hours of discharge</w:t>
            </w:r>
          </w:p>
        </w:tc>
      </w:tr>
      <w:tr>
        <w:tc>
          <w:tcPr>
            <w:tcW w:type="dxa" w:w="4320"/>
          </w:tcPr>
          <w:p>
            <w:r>
              <w:t>Final bill shared with the insurer</w:t>
            </w:r>
          </w:p>
        </w:tc>
        <w:tc>
          <w:tcPr>
            <w:tcW w:type="dxa" w:w="4320"/>
          </w:tcPr>
          <w:p>
            <w:r>
              <w:t>within 6 hours of the discharge decision</w:t>
            </w:r>
          </w:p>
        </w:tc>
      </w:tr>
    </w:tbl>
    <w:p>
      <w:pPr>
        <w:pStyle w:val="Heading1"/>
      </w:pPr>
      <w:r>
        <w:t>Medicines at discharge</w:t>
      </w:r>
    </w:p>
    <w:p>
      <w:r>
        <w:t>Patients receive a printed medicine chart and at most 7 days of medicines from the hospital pharmacy.</w:t>
      </w:r>
    </w:p>
    <w:p>
      <w:pPr>
        <w:pStyle w:val="Heading1"/>
      </w:pPr>
      <w:r>
        <w:t>Escalation</w:t>
      </w:r>
    </w:p>
    <w:p>
      <w:r>
        <w:t>Discharge delays beyond 4 hours are escalated to the nursing superintendent, Ms. Leela Thomas, +91 98450 22110.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